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B" w:rsidRPr="00DA5C66" w:rsidRDefault="00B663DB" w:rsidP="00B663DB">
      <w:pPr>
        <w:widowControl w:val="0"/>
        <w:jc w:val="right"/>
      </w:pPr>
      <w:bookmarkStart w:id="0" w:name="_Toc304448765"/>
      <w:r w:rsidRPr="00DA5C66">
        <w:t>Приложение №</w:t>
      </w:r>
      <w:r w:rsidR="00D321D5" w:rsidRPr="00DA5C66">
        <w:t>5</w:t>
      </w:r>
    </w:p>
    <w:p w:rsidR="00B663DB" w:rsidRPr="00DA5C66" w:rsidRDefault="009E6A12" w:rsidP="00B663DB">
      <w:pPr>
        <w:widowControl w:val="0"/>
        <w:jc w:val="right"/>
      </w:pPr>
      <w:r w:rsidRPr="00DA5C66">
        <w:t>к</w:t>
      </w:r>
      <w:r w:rsidR="00B663DB" w:rsidRPr="00DA5C66">
        <w:t xml:space="preserve"> </w:t>
      </w:r>
      <w:r w:rsidR="00082F21" w:rsidRPr="00DA5C66">
        <w:t>А</w:t>
      </w:r>
      <w:r w:rsidR="00B663DB" w:rsidRPr="00DA5C66">
        <w:t>гентскому договору</w:t>
      </w:r>
    </w:p>
    <w:p w:rsidR="00B663DB" w:rsidRPr="00DA5C66" w:rsidRDefault="00B663DB" w:rsidP="00B663DB">
      <w:pPr>
        <w:widowControl w:val="0"/>
        <w:jc w:val="right"/>
      </w:pPr>
      <w:r w:rsidRPr="00DA5C66">
        <w:t>№__________от «____»___________2016 года</w:t>
      </w: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</w:pPr>
    </w:p>
    <w:p w:rsidR="00B663DB" w:rsidRPr="00DA5C66" w:rsidRDefault="00B663DB" w:rsidP="00701AB3">
      <w:pPr>
        <w:widowControl w:val="0"/>
        <w:jc w:val="center"/>
        <w:rPr>
          <w:sz w:val="40"/>
        </w:rPr>
      </w:pPr>
      <w:r w:rsidRPr="00DA5C66">
        <w:rPr>
          <w:sz w:val="40"/>
        </w:rPr>
        <w:t xml:space="preserve">Методика расчета </w:t>
      </w:r>
      <w:r w:rsidR="00D321D5" w:rsidRPr="00DA5C66">
        <w:rPr>
          <w:sz w:val="40"/>
        </w:rPr>
        <w:t xml:space="preserve">агентского вознаграждения по организации и проведению </w:t>
      </w:r>
      <w:r w:rsidR="00200BF6" w:rsidRPr="00DA5C66">
        <w:rPr>
          <w:sz w:val="40"/>
        </w:rPr>
        <w:t xml:space="preserve">конкурентной </w:t>
      </w:r>
      <w:r w:rsidR="00D321D5" w:rsidRPr="00DA5C66">
        <w:rPr>
          <w:sz w:val="40"/>
        </w:rPr>
        <w:t>закупочн</w:t>
      </w:r>
      <w:r w:rsidR="000C6A62" w:rsidRPr="00DA5C66">
        <w:rPr>
          <w:sz w:val="40"/>
        </w:rPr>
        <w:t>ой</w:t>
      </w:r>
      <w:r w:rsidR="00D321D5" w:rsidRPr="00DA5C66">
        <w:rPr>
          <w:sz w:val="40"/>
        </w:rPr>
        <w:t xml:space="preserve"> процедур</w:t>
      </w:r>
      <w:r w:rsidR="000C6A62" w:rsidRPr="00DA5C66">
        <w:rPr>
          <w:sz w:val="40"/>
        </w:rPr>
        <w:t>ы</w:t>
      </w:r>
    </w:p>
    <w:p w:rsidR="00B663DB" w:rsidRPr="00DA5C66" w:rsidRDefault="00B663DB" w:rsidP="00701AB3">
      <w:pPr>
        <w:widowControl w:val="0"/>
        <w:jc w:val="center"/>
      </w:pPr>
    </w:p>
    <w:p w:rsidR="0012771E" w:rsidRPr="00DA5C66" w:rsidRDefault="0012771E">
      <w:pPr>
        <w:spacing w:after="200" w:line="276" w:lineRule="auto"/>
      </w:pPr>
      <w:r w:rsidRPr="00DA5C66">
        <w:rPr>
          <w:b/>
          <w:bCs/>
        </w:rPr>
        <w:br w:type="page"/>
      </w:r>
    </w:p>
    <w:p w:rsidR="003E12F3" w:rsidRPr="00DA5C66" w:rsidRDefault="003E12F3" w:rsidP="00701AB3">
      <w:pPr>
        <w:pStyle w:val="11"/>
        <w:widowControl w:val="0"/>
        <w:numPr>
          <w:ilvl w:val="0"/>
          <w:numId w:val="1"/>
        </w:numPr>
        <w:tabs>
          <w:tab w:val="left" w:pos="540"/>
        </w:tabs>
        <w:ind w:left="540" w:hanging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A51773">
        <w:rPr>
          <w:rFonts w:ascii="Times New Roman" w:hAnsi="Times New Roman"/>
          <w:sz w:val="24"/>
          <w:szCs w:val="24"/>
        </w:rPr>
        <w:lastRenderedPageBreak/>
        <w:t>Термины и определения</w:t>
      </w:r>
      <w:r w:rsidRPr="00A51773">
        <w:rPr>
          <w:rFonts w:ascii="Times New Roman" w:hAnsi="Times New Roman"/>
          <w:sz w:val="24"/>
          <w:szCs w:val="24"/>
          <w:lang w:val="ru-RU"/>
        </w:rPr>
        <w:t>.</w:t>
      </w:r>
    </w:p>
    <w:p w:rsidR="003E12F3" w:rsidRPr="00DA5C66" w:rsidRDefault="003E12F3" w:rsidP="00701AB3">
      <w:pPr>
        <w:widowControl w:val="0"/>
        <w:spacing w:after="60"/>
        <w:ind w:left="539"/>
        <w:jc w:val="right"/>
      </w:pPr>
      <w:r w:rsidRPr="00DA5C66"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843"/>
        <w:gridCol w:w="3260"/>
      </w:tblGrid>
      <w:tr w:rsidR="003E12F3" w:rsidRPr="00DA5C66" w:rsidTr="00A51773">
        <w:tc>
          <w:tcPr>
            <w:tcW w:w="4678" w:type="dxa"/>
            <w:shd w:val="clear" w:color="auto" w:fill="CCCCCC"/>
          </w:tcPr>
          <w:p w:rsidR="003E12F3" w:rsidRPr="00DA5C66" w:rsidRDefault="003E12F3">
            <w:pPr>
              <w:pStyle w:val="20"/>
              <w:keepNext w:val="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5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Условные обозначения, определения и пояснения</w:t>
            </w:r>
          </w:p>
        </w:tc>
        <w:tc>
          <w:tcPr>
            <w:tcW w:w="1843" w:type="dxa"/>
            <w:shd w:val="clear" w:color="auto" w:fill="CCCCCC"/>
          </w:tcPr>
          <w:p w:rsidR="003E12F3" w:rsidRPr="00DA5C66" w:rsidRDefault="003E12F3" w:rsidP="00701AB3">
            <w:pPr>
              <w:pStyle w:val="2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5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Размерность</w:t>
            </w:r>
          </w:p>
        </w:tc>
        <w:tc>
          <w:tcPr>
            <w:tcW w:w="3260" w:type="dxa"/>
            <w:shd w:val="clear" w:color="auto" w:fill="CCCCCC"/>
          </w:tcPr>
          <w:p w:rsidR="003E12F3" w:rsidRPr="00DA5C66" w:rsidRDefault="003E12F3" w:rsidP="00701AB3">
            <w:pPr>
              <w:pStyle w:val="20"/>
              <w:widowControl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5C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Источник, из которого должна быть получена информация о параметре</w:t>
            </w:r>
          </w:p>
        </w:tc>
      </w:tr>
      <w:tr w:rsidR="003E12F3" w:rsidRPr="00DA5C66" w:rsidTr="00A51773">
        <w:trPr>
          <w:trHeight w:val="575"/>
        </w:trPr>
        <w:tc>
          <w:tcPr>
            <w:tcW w:w="4678" w:type="dxa"/>
          </w:tcPr>
          <w:p w:rsidR="003E12F3" w:rsidRPr="00DA5C66" w:rsidRDefault="003E12F3" w:rsidP="00701AB3">
            <w:pPr>
              <w:pStyle w:val="af1"/>
              <w:widowControl w:val="0"/>
              <w:jc w:val="both"/>
              <w:rPr>
                <w:rFonts w:ascii="Times New Roman" w:hAnsi="Times New Roman"/>
                <w:position w:val="-6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4"/>
                <w:sz w:val="24"/>
                <w:szCs w:val="24"/>
                <w:lang w:val="ru-RU" w:eastAsia="ru-RU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8pt;height:15pt" o:ole="">
                  <v:imagedata r:id="rId9" o:title=""/>
                </v:shape>
                <o:OLEObject Type="Embed" ProgID="Equation.3" ShapeID="_x0000_i1025" DrawAspect="Content" ObjectID="_1531585638" r:id="rId10"/>
              </w:object>
            </w: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размер вознаграждения Агента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3E12F3" w:rsidRPr="00DA5C66" w:rsidRDefault="003E12F3" w:rsidP="00701AB3">
            <w:pPr>
              <w:widowControl w:val="0"/>
            </w:pPr>
            <w:r w:rsidRPr="00DA5C66">
              <w:t>Формула (1)</w:t>
            </w:r>
          </w:p>
        </w:tc>
      </w:tr>
      <w:tr w:rsidR="003E12F3" w:rsidRPr="00DA5C66" w:rsidTr="0012771E">
        <w:tc>
          <w:tcPr>
            <w:tcW w:w="4678" w:type="dxa"/>
          </w:tcPr>
          <w:p w:rsidR="003E12F3" w:rsidRPr="00DA5C66" w:rsidRDefault="0012771E">
            <w:pPr>
              <w:pStyle w:val="af1"/>
              <w:widowControl w:val="0"/>
              <w:jc w:val="both"/>
              <w:rPr>
                <w:rFonts w:ascii="Times New Roman" w:hAnsi="Times New Roman"/>
                <w:position w:val="-6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520" w:dyaOrig="380">
                <v:shape id="_x0000_i1026" type="#_x0000_t75" style="width:28.8pt;height:22.45pt" o:ole="">
                  <v:imagedata r:id="rId11" o:title=""/>
                </v:shape>
                <o:OLEObject Type="Embed" ProgID="Equation.3" ShapeID="_x0000_i1026" DrawAspect="Content" ObjectID="_1531585639" r:id="rId12"/>
              </w:object>
            </w:r>
            <w:r w:rsidR="00DD431F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фиксированная часть размера вознаграждения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3E12F3" w:rsidRPr="00DA5C66" w:rsidRDefault="00EE7EDD" w:rsidP="00701AB3">
            <w:pPr>
              <w:widowControl w:val="0"/>
            </w:pPr>
            <w:r w:rsidRPr="00DA5C66">
              <w:t>Таблица 2</w:t>
            </w:r>
          </w:p>
        </w:tc>
      </w:tr>
      <w:tr w:rsidR="003E12F3" w:rsidRPr="00DA5C66" w:rsidTr="00A51773">
        <w:tc>
          <w:tcPr>
            <w:tcW w:w="4678" w:type="dxa"/>
          </w:tcPr>
          <w:p w:rsidR="003E12F3" w:rsidRPr="00DA5C66" w:rsidRDefault="0012771E" w:rsidP="0012771E">
            <w:pPr>
              <w:pStyle w:val="af1"/>
              <w:widowControl w:val="0"/>
              <w:spacing w:before="0" w:after="0"/>
              <w:jc w:val="both"/>
              <w:rPr>
                <w:rFonts w:ascii="Times New Roman" w:hAnsi="Times New Roman"/>
                <w:position w:val="-6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580" w:dyaOrig="380">
                <v:shape id="_x0000_i1027" type="#_x0000_t75" style="width:32.25pt;height:21.9pt" o:ole="">
                  <v:imagedata r:id="rId13" o:title=""/>
                </v:shape>
                <o:OLEObject Type="Embed" ProgID="Equation.3" ShapeID="_x0000_i1027" DrawAspect="Content" ObjectID="_1531585640" r:id="rId14"/>
              </w:objec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переменная часть вознаграждения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3E12F3" w:rsidRPr="00DA5C66" w:rsidRDefault="003E12F3">
            <w:pPr>
              <w:widowControl w:val="0"/>
            </w:pPr>
            <w:r w:rsidRPr="00DA5C66">
              <w:t>Формула (</w:t>
            </w:r>
            <w:r w:rsidR="00AC2495" w:rsidRPr="00DA5C66">
              <w:t>2</w:t>
            </w:r>
            <w:r w:rsidRPr="00DA5C66">
              <w:t>)</w:t>
            </w:r>
          </w:p>
        </w:tc>
      </w:tr>
      <w:tr w:rsidR="003E12F3" w:rsidRPr="00DA5C66" w:rsidTr="00EB7680">
        <w:tc>
          <w:tcPr>
            <w:tcW w:w="4678" w:type="dxa"/>
          </w:tcPr>
          <w:p w:rsidR="003E12F3" w:rsidRPr="00DA5C66" w:rsidRDefault="00EB7680">
            <w:pPr>
              <w:pStyle w:val="af1"/>
              <w:widowControl w:val="0"/>
              <w:jc w:val="both"/>
              <w:rPr>
                <w:rFonts w:ascii="Times New Roman" w:hAnsi="Times New Roman"/>
                <w:position w:val="-28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920" w:dyaOrig="380">
                <v:shape id="_x0000_i1028" type="#_x0000_t75" style="width:46.1pt;height:17.3pt" o:ole="">
                  <v:imagedata r:id="rId15" o:title=""/>
                </v:shape>
                <o:OLEObject Type="Embed" ProgID="Equation.3" ShapeID="_x0000_i1028" DrawAspect="Content" ObjectID="_1531585641" r:id="rId16"/>
              </w:object>
            </w:r>
            <w:r w:rsidR="00DD431F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переменная часть размера вознаграждения, исходя из экономического эффекта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3E12F3" w:rsidRPr="00DA5C66" w:rsidRDefault="003E12F3">
            <w:pPr>
              <w:widowControl w:val="0"/>
            </w:pPr>
            <w:r w:rsidRPr="00A51773">
              <w:t>Формула (</w:t>
            </w:r>
            <w:r w:rsidR="00AC2495" w:rsidRPr="00A51773">
              <w:t>3</w:t>
            </w:r>
            <w:r w:rsidRPr="00A51773">
              <w:t>)</w:t>
            </w:r>
          </w:p>
        </w:tc>
      </w:tr>
      <w:tr w:rsidR="003E12F3" w:rsidRPr="00DA5C66" w:rsidTr="00EB7680">
        <w:tc>
          <w:tcPr>
            <w:tcW w:w="4678" w:type="dxa"/>
          </w:tcPr>
          <w:p w:rsidR="003E12F3" w:rsidRPr="00DA5C66" w:rsidRDefault="00EB7680" w:rsidP="00A00699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  <w:object w:dxaOrig="999" w:dyaOrig="360">
                <v:shape id="_x0000_i1030" type="#_x0000_t75" style="width:51.25pt;height:19pt" o:ole="">
                  <v:imagedata r:id="rId17" o:title=""/>
                </v:shape>
                <o:OLEObject Type="Embed" ProgID="Equation.3" ShapeID="_x0000_i1030" DrawAspect="Content" ObjectID="_1531585642" r:id="rId18"/>
              </w:object>
            </w:r>
            <w:r w:rsidR="00DD431F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экономия финансовых средств </w:t>
            </w:r>
            <w:r w:rsidR="00C2388B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</w: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конкурентной процедуре, которую обеспечили действия Агента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3E12F3" w:rsidRPr="00DA5C66" w:rsidRDefault="003E12F3">
            <w:pPr>
              <w:widowControl w:val="0"/>
            </w:pPr>
            <w:r w:rsidRPr="00A51773">
              <w:t>Формула (</w:t>
            </w:r>
            <w:r w:rsidR="00AC2495" w:rsidRPr="00A51773">
              <w:t>4</w:t>
            </w:r>
            <w:r w:rsidRPr="00A51773">
              <w:t>)</w:t>
            </w:r>
          </w:p>
        </w:tc>
      </w:tr>
      <w:tr w:rsidR="00DD431F" w:rsidRPr="00DA5C66" w:rsidTr="00EB7680">
        <w:tc>
          <w:tcPr>
            <w:tcW w:w="4678" w:type="dxa"/>
          </w:tcPr>
          <w:p w:rsidR="00DD431F" w:rsidRPr="00DA5C66" w:rsidRDefault="00DD431F">
            <w:pPr>
              <w:pStyle w:val="af1"/>
              <w:widowControl w:val="0"/>
              <w:jc w:val="both"/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0"/>
                <w:sz w:val="24"/>
                <w:szCs w:val="24"/>
                <w:lang w:val="ru-RU" w:eastAsia="ru-RU"/>
              </w:rPr>
              <w:object w:dxaOrig="700" w:dyaOrig="340">
                <v:shape id="_x0000_i1031" type="#_x0000_t75" style="width:36.3pt;height:17.3pt" o:ole="">
                  <v:imagedata r:id="rId19" o:title=""/>
                </v:shape>
                <o:OLEObject Type="Embed" ProgID="Equation.3" ShapeID="_x0000_i1031" DrawAspect="Content" ObjectID="_1531585643" r:id="rId20"/>
              </w:object>
            </w: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рыночная стоимость </w:t>
            </w:r>
            <w:r w:rsidR="006B5F68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соответствующей закупке</w:t>
            </w:r>
          </w:p>
        </w:tc>
        <w:tc>
          <w:tcPr>
            <w:tcW w:w="1843" w:type="dxa"/>
            <w:vAlign w:val="center"/>
          </w:tcPr>
          <w:p w:rsidR="00DD431F" w:rsidRPr="00DA5C66" w:rsidRDefault="006B5F68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DD431F" w:rsidRPr="00DA5C66" w:rsidRDefault="006B5F68" w:rsidP="00AC2495">
            <w:pPr>
              <w:widowControl w:val="0"/>
            </w:pPr>
            <w:r w:rsidRPr="00A51773">
              <w:t>Формула (5)</w:t>
            </w:r>
          </w:p>
        </w:tc>
      </w:tr>
      <w:tr w:rsidR="006B5F68" w:rsidRPr="00DA5C66" w:rsidTr="00EB7680">
        <w:tc>
          <w:tcPr>
            <w:tcW w:w="4678" w:type="dxa"/>
          </w:tcPr>
          <w:p w:rsidR="006B5F68" w:rsidRPr="00DA5C66" w:rsidRDefault="006B5F68">
            <w:pPr>
              <w:pStyle w:val="af1"/>
              <w:widowControl w:val="0"/>
              <w:jc w:val="both"/>
              <w:rPr>
                <w:rFonts w:ascii="Times New Roman" w:hAnsi="Times New Roman"/>
                <w:position w:val="-12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0"/>
                <w:sz w:val="24"/>
                <w:szCs w:val="24"/>
                <w:lang w:val="ru-RU" w:eastAsia="ru-RU"/>
              </w:rPr>
              <w:object w:dxaOrig="740" w:dyaOrig="340" w14:anchorId="2092D9F2">
                <v:shape id="_x0000_i1032" type="#_x0000_t75" style="width:38pt;height:17.3pt" o:ole="">
                  <v:imagedata r:id="rId21" o:title=""/>
                </v:shape>
                <o:OLEObject Type="Embed" ProgID="Equation.3" ShapeID="_x0000_i1032" DrawAspect="Content" ObjectID="_1531585644" r:id="rId22"/>
              </w:object>
            </w: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стоимость заявки участника, признанного победителем </w:t>
            </w:r>
          </w:p>
        </w:tc>
        <w:tc>
          <w:tcPr>
            <w:tcW w:w="1843" w:type="dxa"/>
            <w:vAlign w:val="center"/>
          </w:tcPr>
          <w:p w:rsidR="006B5F68" w:rsidRPr="00DA5C66" w:rsidRDefault="006B5F68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6B5F68" w:rsidRPr="00DA5C66" w:rsidRDefault="006B5F68">
            <w:pPr>
              <w:widowControl w:val="0"/>
            </w:pPr>
            <w:r w:rsidRPr="00A51773">
              <w:t>На основании протокола о выборе победителя</w:t>
            </w:r>
          </w:p>
        </w:tc>
      </w:tr>
      <w:tr w:rsidR="003E12F3" w:rsidRPr="00DA5C66" w:rsidTr="00A51773">
        <w:tc>
          <w:tcPr>
            <w:tcW w:w="4678" w:type="dxa"/>
          </w:tcPr>
          <w:p w:rsidR="003E12F3" w:rsidRPr="00A51773" w:rsidRDefault="0012771E" w:rsidP="00A51773">
            <w:pPr>
              <w:pStyle w:val="af1"/>
              <w:widowControl w:val="0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proofErr w:type="gramEnd"/>
            <w:r w:rsidR="00953F1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953F12" w:rsidRPr="00A5177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коэффициент сложности</w:t>
            </w:r>
          </w:p>
        </w:tc>
        <w:tc>
          <w:tcPr>
            <w:tcW w:w="1843" w:type="dxa"/>
            <w:vAlign w:val="center"/>
          </w:tcPr>
          <w:p w:rsidR="003E12F3" w:rsidRPr="00DA5C66" w:rsidRDefault="00312E96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3260" w:type="dxa"/>
            <w:vAlign w:val="center"/>
          </w:tcPr>
          <w:p w:rsidR="003E12F3" w:rsidRPr="00DA5C66" w:rsidRDefault="008837A5">
            <w:pPr>
              <w:widowControl w:val="0"/>
            </w:pPr>
            <w:r w:rsidRPr="00A51773">
              <w:t>Таблица (</w:t>
            </w:r>
            <w:r w:rsidR="00AC2495" w:rsidRPr="00A51773">
              <w:t>5</w:t>
            </w:r>
            <w:r w:rsidRPr="00A51773">
              <w:t>)</w:t>
            </w:r>
          </w:p>
        </w:tc>
      </w:tr>
      <w:tr w:rsidR="003E12F3" w:rsidRPr="00DA5C66" w:rsidTr="00EB7680">
        <w:tc>
          <w:tcPr>
            <w:tcW w:w="4678" w:type="dxa"/>
          </w:tcPr>
          <w:p w:rsidR="003E12F3" w:rsidRPr="00DA5C66" w:rsidRDefault="00EB768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320" w:dyaOrig="380">
                <v:shape id="_x0000_i1036" type="#_x0000_t75" style="width:18.45pt;height:22.45pt" o:ole="">
                  <v:imagedata r:id="rId23" o:title=""/>
                </v:shape>
                <o:OLEObject Type="Embed" ProgID="Equation.3" ShapeID="_x0000_i1036" DrawAspect="Content" ObjectID="_1531585645" r:id="rId24"/>
              </w:objec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количество </w:t>
            </w:r>
            <w:r w:rsidR="000031CC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заявок участников признанных соответствующими требованиям документации о закупке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3260" w:type="dxa"/>
            <w:vAlign w:val="center"/>
          </w:tcPr>
          <w:p w:rsidR="003E12F3" w:rsidRPr="00DA5C66" w:rsidRDefault="003E12F3" w:rsidP="00EE7EDD">
            <w:pPr>
              <w:widowControl w:val="0"/>
            </w:pPr>
            <w:r w:rsidRPr="00A51773">
              <w:t xml:space="preserve">На основании </w:t>
            </w:r>
            <w:r w:rsidR="00EE7EDD" w:rsidRPr="00A51773">
              <w:t xml:space="preserve">заключения закупочной комиссии </w:t>
            </w:r>
          </w:p>
        </w:tc>
      </w:tr>
      <w:tr w:rsidR="003E12F3" w:rsidRPr="00DA5C66" w:rsidTr="00EB7680">
        <w:tc>
          <w:tcPr>
            <w:tcW w:w="4678" w:type="dxa"/>
          </w:tcPr>
          <w:p w:rsidR="003E12F3" w:rsidRPr="00DA5C66" w:rsidRDefault="00FD6336" w:rsidP="00FD6336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51773">
              <w:rPr>
                <w:rFonts w:ascii="Times New Roman" w:hAnsi="Times New Roman"/>
                <w:position w:val="-14"/>
                <w:sz w:val="24"/>
                <w:szCs w:val="24"/>
                <w:lang w:val="ru-RU" w:eastAsia="ru-RU"/>
              </w:rPr>
              <w:object w:dxaOrig="420" w:dyaOrig="380">
                <v:shape id="_x0000_i1037" type="#_x0000_t75" style="width:22.45pt;height:22.45pt" o:ole="">
                  <v:imagedata r:id="rId25" o:title=""/>
                </v:shape>
                <o:OLEObject Type="Embed" ProgID="Equation.3" ShapeID="_x0000_i1037" DrawAspect="Content" ObjectID="_1531585646" r:id="rId26"/>
              </w:objec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="000031CC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стоимость заявки участника, признанного соответствующим требованиям документации о закупке</w:t>
            </w:r>
            <w:r w:rsidR="006B5F68"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соответствии с первоначальным ценовым предложением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Руб.</w:t>
            </w:r>
          </w:p>
        </w:tc>
        <w:tc>
          <w:tcPr>
            <w:tcW w:w="3260" w:type="dxa"/>
            <w:vAlign w:val="center"/>
          </w:tcPr>
          <w:p w:rsidR="003E12F3" w:rsidRPr="00DA5C66" w:rsidRDefault="003E12F3" w:rsidP="00701AB3">
            <w:pPr>
              <w:widowControl w:val="0"/>
            </w:pPr>
            <w:r w:rsidRPr="00A51773">
              <w:t xml:space="preserve">На основании </w:t>
            </w:r>
            <w:r w:rsidR="00EE7EDD" w:rsidRPr="00A51773">
              <w:t>заключения закупочной комиссии</w:t>
            </w:r>
          </w:p>
        </w:tc>
      </w:tr>
      <w:tr w:rsidR="003E12F3" w:rsidRPr="00DA5C66" w:rsidTr="00A51773">
        <w:tc>
          <w:tcPr>
            <w:tcW w:w="4678" w:type="dxa"/>
          </w:tcPr>
          <w:p w:rsidR="003E12F3" w:rsidRPr="00DA5C66" w:rsidRDefault="003E12F3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A5C6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Q</w:t>
            </w:r>
            <w:r w:rsidRPr="00DA5C66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- нормирующий коэффициент </w:t>
            </w:r>
          </w:p>
        </w:tc>
        <w:tc>
          <w:tcPr>
            <w:tcW w:w="1843" w:type="dxa"/>
            <w:vAlign w:val="center"/>
          </w:tcPr>
          <w:p w:rsidR="003E12F3" w:rsidRPr="00DA5C66" w:rsidRDefault="003E12F3" w:rsidP="00701AB3">
            <w:pPr>
              <w:pStyle w:val="af1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Align w:val="center"/>
          </w:tcPr>
          <w:p w:rsidR="003E12F3" w:rsidRPr="00DA5C66" w:rsidRDefault="003E12F3">
            <w:pPr>
              <w:widowControl w:val="0"/>
            </w:pPr>
            <w:r w:rsidRPr="00A51773">
              <w:t>Таблица (</w:t>
            </w:r>
            <w:r w:rsidR="008837A5" w:rsidRPr="00A51773">
              <w:t>4</w:t>
            </w:r>
            <w:r w:rsidRPr="00A51773">
              <w:t>)</w:t>
            </w:r>
          </w:p>
        </w:tc>
      </w:tr>
    </w:tbl>
    <w:p w:rsidR="0012771E" w:rsidRPr="00A51773" w:rsidRDefault="0012771E" w:rsidP="00A51773">
      <w:pPr>
        <w:pStyle w:val="11"/>
        <w:keepNext w:val="0"/>
        <w:widowControl w:val="0"/>
        <w:tabs>
          <w:tab w:val="left" w:pos="540"/>
        </w:tabs>
        <w:spacing w:before="0" w:after="0"/>
        <w:ind w:left="539"/>
        <w:rPr>
          <w:rFonts w:ascii="Times New Roman" w:hAnsi="Times New Roman"/>
          <w:sz w:val="24"/>
          <w:szCs w:val="24"/>
        </w:rPr>
      </w:pPr>
    </w:p>
    <w:p w:rsidR="003E12F3" w:rsidRPr="00DA5C66" w:rsidRDefault="003E12F3" w:rsidP="00A51773">
      <w:pPr>
        <w:pStyle w:val="11"/>
        <w:keepNext w:val="0"/>
        <w:widowControl w:val="0"/>
        <w:numPr>
          <w:ilvl w:val="0"/>
          <w:numId w:val="1"/>
        </w:numPr>
        <w:tabs>
          <w:tab w:val="left" w:pos="540"/>
        </w:tabs>
        <w:spacing w:before="0" w:after="0"/>
        <w:ind w:left="539" w:hanging="539"/>
        <w:jc w:val="center"/>
        <w:rPr>
          <w:rFonts w:ascii="Times New Roman" w:hAnsi="Times New Roman"/>
          <w:sz w:val="24"/>
          <w:szCs w:val="24"/>
        </w:rPr>
      </w:pPr>
      <w:r w:rsidRPr="00DA5C66">
        <w:rPr>
          <w:rFonts w:ascii="Times New Roman" w:hAnsi="Times New Roman"/>
          <w:sz w:val="24"/>
          <w:szCs w:val="24"/>
        </w:rPr>
        <w:t>Назначение и область применения</w:t>
      </w:r>
      <w:r w:rsidRPr="00DA5C66">
        <w:rPr>
          <w:rFonts w:ascii="Times New Roman" w:hAnsi="Times New Roman"/>
          <w:sz w:val="24"/>
          <w:szCs w:val="24"/>
          <w:lang w:val="ru-RU"/>
        </w:rPr>
        <w:t>.</w:t>
      </w:r>
    </w:p>
    <w:p w:rsidR="003E12F3" w:rsidRPr="00A51773" w:rsidRDefault="003E12F3" w:rsidP="00A51773">
      <w:pPr>
        <w:pStyle w:val="20"/>
        <w:keepNext w:val="0"/>
        <w:widowControl w:val="0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5C66">
        <w:rPr>
          <w:rFonts w:ascii="Times New Roman" w:hAnsi="Times New Roman"/>
          <w:sz w:val="24"/>
          <w:szCs w:val="24"/>
        </w:rPr>
        <w:t xml:space="preserve">Целью настоящего документа является определение принципов и алгоритма расчета </w:t>
      </w:r>
      <w:r w:rsidRPr="00DA5C66">
        <w:rPr>
          <w:rFonts w:ascii="Times New Roman" w:hAnsi="Times New Roman"/>
          <w:sz w:val="24"/>
          <w:szCs w:val="24"/>
          <w:lang w:val="ru-RU"/>
        </w:rPr>
        <w:t xml:space="preserve">размера </w:t>
      </w:r>
      <w:r w:rsidRPr="00DA5C66">
        <w:rPr>
          <w:rFonts w:ascii="Times New Roman" w:hAnsi="Times New Roman"/>
          <w:sz w:val="24"/>
          <w:szCs w:val="24"/>
        </w:rPr>
        <w:t xml:space="preserve">вознаграждения </w:t>
      </w:r>
      <w:r w:rsidRPr="00DA5C66">
        <w:rPr>
          <w:rFonts w:ascii="Times New Roman" w:hAnsi="Times New Roman"/>
          <w:sz w:val="24"/>
          <w:szCs w:val="24"/>
          <w:lang w:val="ru-RU"/>
        </w:rPr>
        <w:t>Агента</w:t>
      </w:r>
      <w:r w:rsidRPr="00DA5C66">
        <w:rPr>
          <w:rFonts w:ascii="Times New Roman" w:hAnsi="Times New Roman"/>
          <w:sz w:val="24"/>
          <w:szCs w:val="24"/>
        </w:rPr>
        <w:t xml:space="preserve"> и обоснование целесообразности установ</w:t>
      </w:r>
      <w:r w:rsidRPr="00DA5C66">
        <w:rPr>
          <w:rFonts w:ascii="Times New Roman" w:hAnsi="Times New Roman"/>
          <w:sz w:val="24"/>
          <w:szCs w:val="24"/>
          <w:lang w:val="ru-RU"/>
        </w:rPr>
        <w:t>ления</w:t>
      </w:r>
      <w:r w:rsidRPr="00DA5C66">
        <w:rPr>
          <w:rFonts w:ascii="Times New Roman" w:hAnsi="Times New Roman"/>
          <w:sz w:val="24"/>
          <w:szCs w:val="24"/>
        </w:rPr>
        <w:t xml:space="preserve"> того или иного уровня </w:t>
      </w:r>
      <w:r w:rsidRPr="00DA5C66">
        <w:rPr>
          <w:rFonts w:ascii="Times New Roman" w:hAnsi="Times New Roman"/>
          <w:sz w:val="24"/>
          <w:szCs w:val="24"/>
          <w:lang w:val="ru-RU"/>
        </w:rPr>
        <w:t xml:space="preserve">размера </w:t>
      </w:r>
      <w:r w:rsidRPr="00DA5C66">
        <w:rPr>
          <w:rFonts w:ascii="Times New Roman" w:hAnsi="Times New Roman"/>
          <w:sz w:val="24"/>
          <w:szCs w:val="24"/>
        </w:rPr>
        <w:t>вознаграждения</w:t>
      </w:r>
      <w:r w:rsidRPr="00DA5C66">
        <w:rPr>
          <w:rFonts w:ascii="Times New Roman" w:hAnsi="Times New Roman"/>
          <w:sz w:val="24"/>
          <w:szCs w:val="24"/>
          <w:lang w:val="ru-RU"/>
        </w:rPr>
        <w:t xml:space="preserve"> Агента</w:t>
      </w:r>
      <w:r w:rsidRPr="00DA5C66">
        <w:rPr>
          <w:rFonts w:ascii="Times New Roman" w:hAnsi="Times New Roman"/>
          <w:sz w:val="24"/>
          <w:szCs w:val="24"/>
        </w:rPr>
        <w:t>.</w:t>
      </w:r>
      <w:r w:rsidRPr="00DA5C66">
        <w:rPr>
          <w:rFonts w:ascii="Times New Roman" w:hAnsi="Times New Roman"/>
          <w:sz w:val="24"/>
          <w:szCs w:val="24"/>
          <w:lang w:val="ru-RU"/>
        </w:rPr>
        <w:t xml:space="preserve"> Настоящая Методика является неотъемлемой частью агентского договора (далее по тексту - Договор).</w:t>
      </w:r>
    </w:p>
    <w:p w:rsidR="0012771E" w:rsidRPr="00DA5C66" w:rsidRDefault="0012771E" w:rsidP="00A51773">
      <w:pPr>
        <w:pStyle w:val="20"/>
        <w:keepNext w:val="0"/>
        <w:widowControl w:val="0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3E12F3" w:rsidRPr="00DA5C66" w:rsidRDefault="003E12F3" w:rsidP="00A51773">
      <w:pPr>
        <w:pStyle w:val="11"/>
        <w:keepNext w:val="0"/>
        <w:widowControl w:val="0"/>
        <w:numPr>
          <w:ilvl w:val="0"/>
          <w:numId w:val="1"/>
        </w:numPr>
        <w:tabs>
          <w:tab w:val="left" w:pos="540"/>
        </w:tabs>
        <w:spacing w:before="0" w:after="0"/>
        <w:ind w:left="539" w:hanging="539"/>
        <w:jc w:val="center"/>
        <w:rPr>
          <w:rFonts w:ascii="Times New Roman" w:hAnsi="Times New Roman"/>
          <w:sz w:val="24"/>
          <w:szCs w:val="24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>Порядок расчета размера вознаграждения.</w:t>
      </w:r>
    </w:p>
    <w:p w:rsidR="00387A2C" w:rsidRPr="00DA5C66" w:rsidRDefault="003E12F3" w:rsidP="00A51773">
      <w:pPr>
        <w:pStyle w:val="20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>3.1.</w:t>
      </w:r>
      <w:r w:rsidRPr="00DA5C66">
        <w:rPr>
          <w:rFonts w:ascii="Times New Roman" w:hAnsi="Times New Roman"/>
          <w:sz w:val="24"/>
          <w:szCs w:val="24"/>
          <w:lang w:val="ru-RU"/>
        </w:rPr>
        <w:tab/>
      </w:r>
      <w:r w:rsidR="00387A2C" w:rsidRPr="00DA5C66">
        <w:rPr>
          <w:rFonts w:ascii="Times New Roman" w:hAnsi="Times New Roman"/>
          <w:sz w:val="24"/>
          <w:szCs w:val="24"/>
          <w:lang w:val="ru-RU"/>
        </w:rPr>
        <w:t>Итоговый размер вознаграждения по закупочным процедурам, не может превышать 5% от пла</w:t>
      </w:r>
      <w:r w:rsidR="00C2388B" w:rsidRPr="00DA5C66">
        <w:rPr>
          <w:rFonts w:ascii="Times New Roman" w:hAnsi="Times New Roman"/>
          <w:sz w:val="24"/>
          <w:szCs w:val="24"/>
          <w:lang w:val="ru-RU"/>
        </w:rPr>
        <w:t xml:space="preserve">новой </w:t>
      </w:r>
      <w:r w:rsidR="00387A2C" w:rsidRPr="00DA5C66">
        <w:rPr>
          <w:rFonts w:ascii="Times New Roman" w:hAnsi="Times New Roman"/>
          <w:sz w:val="24"/>
          <w:szCs w:val="24"/>
          <w:lang w:val="ru-RU"/>
        </w:rPr>
        <w:t xml:space="preserve">стоимости </w:t>
      </w:r>
      <w:r w:rsidR="00C2388B" w:rsidRPr="00DA5C66">
        <w:rPr>
          <w:rFonts w:ascii="Times New Roman" w:hAnsi="Times New Roman"/>
          <w:sz w:val="24"/>
          <w:szCs w:val="24"/>
          <w:lang w:val="ru-RU"/>
        </w:rPr>
        <w:t>лота</w:t>
      </w:r>
      <w:r w:rsidR="00387A2C" w:rsidRPr="00DA5C66">
        <w:rPr>
          <w:rFonts w:ascii="Times New Roman" w:hAnsi="Times New Roman"/>
          <w:sz w:val="24"/>
          <w:szCs w:val="24"/>
          <w:lang w:val="ru-RU"/>
        </w:rPr>
        <w:t>.</w:t>
      </w:r>
    </w:p>
    <w:p w:rsidR="00EE7EDD" w:rsidRPr="00DA5C66" w:rsidRDefault="00EE7EDD">
      <w:pPr>
        <w:pStyle w:val="20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>В соответствии с положениями настоящей Методики, расчет вознаграждения Агента производится с учетом следующих особенностей:</w:t>
      </w:r>
    </w:p>
    <w:p w:rsidR="00EE7EDD" w:rsidRPr="00DA5C66" w:rsidRDefault="00EE7EDD">
      <w:pPr>
        <w:pStyle w:val="20"/>
        <w:keepNext w:val="0"/>
        <w:widowControl w:val="0"/>
        <w:numPr>
          <w:ilvl w:val="0"/>
          <w:numId w:val="1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 xml:space="preserve">вознаграждение Агента рассчитывается в </w:t>
      </w:r>
      <w:proofErr w:type="gramStart"/>
      <w:r w:rsidRPr="00DA5C66">
        <w:rPr>
          <w:rFonts w:ascii="Times New Roman" w:hAnsi="Times New Roman"/>
          <w:sz w:val="24"/>
          <w:szCs w:val="24"/>
          <w:lang w:val="ru-RU"/>
        </w:rPr>
        <w:t>отношении</w:t>
      </w:r>
      <w:proofErr w:type="gramEnd"/>
      <w:r w:rsidRPr="00DA5C66">
        <w:rPr>
          <w:rFonts w:ascii="Times New Roman" w:hAnsi="Times New Roman"/>
          <w:sz w:val="24"/>
          <w:szCs w:val="24"/>
          <w:lang w:val="ru-RU"/>
        </w:rPr>
        <w:t xml:space="preserve"> каждого лота отдельно;</w:t>
      </w:r>
    </w:p>
    <w:p w:rsidR="00EE7EDD" w:rsidRPr="00DA5C66" w:rsidRDefault="00EE7EDD">
      <w:pPr>
        <w:pStyle w:val="20"/>
        <w:keepNext w:val="0"/>
        <w:widowControl w:val="0"/>
        <w:numPr>
          <w:ilvl w:val="0"/>
          <w:numId w:val="1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 xml:space="preserve">вознаграждение Агента за проведение комбинированных закупочных процедур рассчитывается путем суммирования вознаграждений Агента за каждый способ </w:t>
      </w:r>
      <w:r w:rsidRPr="00DA5C66">
        <w:rPr>
          <w:rFonts w:ascii="Times New Roman" w:hAnsi="Times New Roman"/>
          <w:sz w:val="24"/>
          <w:szCs w:val="24"/>
          <w:lang w:val="ru-RU"/>
        </w:rPr>
        <w:lastRenderedPageBreak/>
        <w:t>проведенной закупочной процедуры;</w:t>
      </w:r>
    </w:p>
    <w:p w:rsidR="00EE7EDD" w:rsidRPr="00DA5C66" w:rsidRDefault="00EE7EDD" w:rsidP="00A51773">
      <w:pPr>
        <w:pStyle w:val="20"/>
        <w:keepNext w:val="0"/>
        <w:widowControl w:val="0"/>
        <w:numPr>
          <w:ilvl w:val="0"/>
          <w:numId w:val="15"/>
        </w:numPr>
        <w:spacing w:before="0" w:after="0"/>
        <w:ind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>фиксированная часть вознаграждения Агента за проведение многоэтапных процедур рассчитывается и выплачивается за каждый этап отдельно, а переменная часть вознаграждения Агента за проведение многоэтапных процедур рассчитывается на последнем этапе.</w:t>
      </w:r>
    </w:p>
    <w:p w:rsidR="00EE7EDD" w:rsidRPr="00DA5C66" w:rsidRDefault="00387A2C" w:rsidP="00A51773">
      <w:pPr>
        <w:pStyle w:val="20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>3.</w:t>
      </w:r>
      <w:r w:rsidR="00913ABE" w:rsidRPr="00DA5C66">
        <w:rPr>
          <w:rFonts w:ascii="Times New Roman" w:hAnsi="Times New Roman"/>
          <w:sz w:val="24"/>
          <w:szCs w:val="24"/>
          <w:lang w:val="ru-RU"/>
        </w:rPr>
        <w:t>2</w:t>
      </w:r>
      <w:r w:rsidRPr="00DA5C66">
        <w:rPr>
          <w:rFonts w:ascii="Times New Roman" w:hAnsi="Times New Roman"/>
          <w:sz w:val="24"/>
          <w:szCs w:val="24"/>
          <w:lang w:val="ru-RU"/>
        </w:rPr>
        <w:t>.</w:t>
      </w:r>
      <w:r w:rsidR="00556059" w:rsidRPr="00DA5C66">
        <w:rPr>
          <w:rFonts w:ascii="Times New Roman" w:hAnsi="Times New Roman"/>
          <w:sz w:val="24"/>
          <w:szCs w:val="24"/>
          <w:lang w:val="ru-RU"/>
        </w:rPr>
        <w:tab/>
      </w:r>
      <w:r w:rsidR="003E12F3" w:rsidRPr="00DA5C66">
        <w:rPr>
          <w:rFonts w:ascii="Times New Roman" w:hAnsi="Times New Roman"/>
          <w:sz w:val="24"/>
          <w:szCs w:val="24"/>
          <w:lang w:val="ru-RU"/>
        </w:rPr>
        <w:t>Размер вознаграждения Агента</w:t>
      </w:r>
      <w:proofErr w:type="gramStart"/>
      <w:r w:rsidR="003E12F3" w:rsidRPr="00DA5C6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3E12F3" w:rsidRPr="00953F12">
        <w:rPr>
          <w:rFonts w:ascii="Times New Roman" w:hAnsi="Times New Roman"/>
          <w:sz w:val="24"/>
          <w:szCs w:val="24"/>
          <w:lang w:val="ru-RU"/>
        </w:rPr>
        <w:object w:dxaOrig="240" w:dyaOrig="260">
          <v:shape id="_x0000_i1038" type="#_x0000_t75" style="width:13.8pt;height:15pt" o:ole="">
            <v:imagedata r:id="rId27" o:title=""/>
          </v:shape>
          <o:OLEObject Type="Embed" ProgID="Equation.3" ShapeID="_x0000_i1038" DrawAspect="Content" ObjectID="_1531585647" r:id="rId28"/>
        </w:object>
      </w:r>
      <w:r w:rsidR="003E12F3" w:rsidRPr="00DA5C66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gramEnd"/>
      <w:r w:rsidR="003E12F3" w:rsidRPr="00DA5C66">
        <w:rPr>
          <w:rFonts w:ascii="Times New Roman" w:hAnsi="Times New Roman"/>
          <w:sz w:val="24"/>
          <w:szCs w:val="24"/>
          <w:lang w:val="ru-RU"/>
        </w:rPr>
        <w:t xml:space="preserve">согласно условиям Договора, состоит из фиксированной и переменной части. </w:t>
      </w:r>
    </w:p>
    <w:p w:rsidR="00EE7EDD" w:rsidRPr="00DA5C66" w:rsidRDefault="008970DB">
      <w:pPr>
        <w:widowControl w:val="0"/>
        <w:jc w:val="center"/>
      </w:pPr>
      <w:r w:rsidRPr="00A51773">
        <w:rPr>
          <w:position w:val="-14"/>
        </w:rPr>
        <w:object w:dxaOrig="1660" w:dyaOrig="380">
          <v:shape id="_x0000_i1039" type="#_x0000_t75" style="width:92.15pt;height:21.9pt" o:ole="">
            <v:imagedata r:id="rId29" o:title=""/>
          </v:shape>
          <o:OLEObject Type="Embed" ProgID="Equation.3" ShapeID="_x0000_i1039" DrawAspect="Content" ObjectID="_1531585648" r:id="rId30"/>
        </w:object>
      </w:r>
      <w:r w:rsidR="00EE7EDD" w:rsidRPr="00A51773">
        <w:tab/>
      </w:r>
      <w:r w:rsidR="00EE7EDD" w:rsidRPr="00A51773">
        <w:tab/>
      </w:r>
      <w:r w:rsidR="00EE7EDD" w:rsidRPr="00A51773">
        <w:tab/>
        <w:t>Формула (1)</w:t>
      </w:r>
    </w:p>
    <w:p w:rsidR="00600531" w:rsidRPr="00953F12" w:rsidRDefault="00EE7EDD" w:rsidP="00A51773">
      <w:pPr>
        <w:pStyle w:val="20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</w:rPr>
      </w:pPr>
      <w:r w:rsidRPr="00DA5C66">
        <w:t>3.3.</w:t>
      </w:r>
      <w:r w:rsidRPr="00DA5C66">
        <w:tab/>
      </w:r>
      <w:r w:rsidR="003E12F3" w:rsidRPr="00A51773">
        <w:rPr>
          <w:rFonts w:ascii="Times New Roman" w:hAnsi="Times New Roman"/>
          <w:sz w:val="24"/>
          <w:szCs w:val="24"/>
          <w:lang w:val="ru-RU"/>
        </w:rPr>
        <w:t>Фиксированная часть размера вознаграждения</w:t>
      </w:r>
      <w:r w:rsidRPr="00A51773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970DB" w:rsidRPr="00953F12">
        <w:rPr>
          <w:rFonts w:ascii="Times New Roman" w:hAnsi="Times New Roman"/>
          <w:position w:val="-14"/>
          <w:sz w:val="24"/>
          <w:szCs w:val="24"/>
          <w:lang w:val="ru-RU"/>
        </w:rPr>
        <w:object w:dxaOrig="520" w:dyaOrig="380">
          <v:shape id="_x0000_i1040" type="#_x0000_t75" style="width:28.8pt;height:22.45pt" o:ole="">
            <v:imagedata r:id="rId31" o:title=""/>
          </v:shape>
          <o:OLEObject Type="Embed" ProgID="Equation.3" ShapeID="_x0000_i1040" DrawAspect="Content" ObjectID="_1531585649" r:id="rId32"/>
        </w:object>
      </w:r>
      <w:r w:rsidRPr="00A51773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DA5C66">
        <w:rPr>
          <w:rFonts w:ascii="Times New Roman" w:hAnsi="Times New Roman"/>
          <w:sz w:val="24"/>
          <w:szCs w:val="24"/>
          <w:lang w:val="ru-RU"/>
        </w:rPr>
        <w:t>д</w:t>
      </w:r>
      <w:r w:rsidR="003E12F3" w:rsidRPr="00DA5C66">
        <w:rPr>
          <w:rFonts w:ascii="Times New Roman" w:hAnsi="Times New Roman"/>
          <w:sz w:val="24"/>
          <w:szCs w:val="24"/>
          <w:lang w:val="ru-RU"/>
        </w:rPr>
        <w:t xml:space="preserve">ля каждой закупочной процедуры i, выполняемой Агентом во исполнение Договора, определяется </w:t>
      </w:r>
      <w:r w:rsidR="00600531" w:rsidRPr="00DA5C66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gramStart"/>
      <w:r w:rsidR="00600531" w:rsidRPr="00DA5C66">
        <w:rPr>
          <w:rFonts w:ascii="Times New Roman" w:hAnsi="Times New Roman"/>
          <w:sz w:val="24"/>
          <w:szCs w:val="24"/>
          <w:lang w:val="ru-RU"/>
        </w:rPr>
        <w:t>соответствии</w:t>
      </w:r>
      <w:proofErr w:type="gramEnd"/>
      <w:r w:rsidR="00600531" w:rsidRPr="00DA5C66">
        <w:rPr>
          <w:rFonts w:ascii="Times New Roman" w:hAnsi="Times New Roman"/>
          <w:sz w:val="24"/>
          <w:szCs w:val="24"/>
          <w:lang w:val="ru-RU"/>
        </w:rPr>
        <w:t xml:space="preserve"> с таблицей</w:t>
      </w:r>
      <w:r w:rsidR="00C023B4" w:rsidRPr="00DA5C66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600531" w:rsidRPr="00DA5C66">
        <w:rPr>
          <w:rFonts w:ascii="Times New Roman" w:hAnsi="Times New Roman"/>
          <w:sz w:val="24"/>
          <w:szCs w:val="24"/>
          <w:lang w:val="ru-RU"/>
        </w:rPr>
        <w:t>.</w:t>
      </w:r>
    </w:p>
    <w:p w:rsidR="00856E50" w:rsidRPr="00A51773" w:rsidRDefault="00856E50" w:rsidP="00A51773">
      <w:pPr>
        <w:pStyle w:val="20"/>
        <w:keepNext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</w:rPr>
      </w:pPr>
    </w:p>
    <w:p w:rsidR="00C023B4" w:rsidRPr="00DA5C66" w:rsidRDefault="00C023B4" w:rsidP="00C023B4">
      <w:pPr>
        <w:widowControl w:val="0"/>
        <w:spacing w:after="60"/>
        <w:ind w:left="539"/>
        <w:jc w:val="right"/>
        <w:rPr>
          <w:lang w:val="en-US"/>
        </w:rPr>
      </w:pPr>
      <w:r w:rsidRPr="00A51773">
        <w:t xml:space="preserve">Таблица </w:t>
      </w:r>
      <w:r w:rsidRPr="00A51773">
        <w:rPr>
          <w:lang w:val="en-US"/>
        </w:rPr>
        <w:t>2</w:t>
      </w:r>
    </w:p>
    <w:tbl>
      <w:tblPr>
        <w:tblW w:w="10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533"/>
        <w:gridCol w:w="1701"/>
        <w:gridCol w:w="1701"/>
        <w:gridCol w:w="1701"/>
        <w:gridCol w:w="1134"/>
        <w:gridCol w:w="1276"/>
      </w:tblGrid>
      <w:tr w:rsidR="000A23F1" w:rsidRPr="00DA5C66" w:rsidTr="00A51773">
        <w:trPr>
          <w:trHeight w:val="3555"/>
          <w:tblHeader/>
        </w:trPr>
        <w:tc>
          <w:tcPr>
            <w:tcW w:w="1291" w:type="dxa"/>
            <w:shd w:val="clear" w:color="auto" w:fill="auto"/>
            <w:vAlign w:val="center"/>
            <w:hideMark/>
          </w:tcPr>
          <w:p w:rsidR="000A23F1" w:rsidRPr="00DA5C66" w:rsidRDefault="00C2388B" w:rsidP="00A51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 xml:space="preserve">Плановая </w:t>
            </w:r>
            <w:r w:rsidR="000A23F1" w:rsidRPr="00DA5C66">
              <w:rPr>
                <w:b/>
                <w:bCs/>
                <w:color w:val="000000"/>
                <w:sz w:val="20"/>
                <w:szCs w:val="20"/>
              </w:rPr>
              <w:t>стоимость лота, включая НДС (в соответствии с ГКПЗ)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A51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>Агентское вознаграждение (без учета НДС) при проведении одноэтапного конкурса /аукциона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A51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>Агентское вознаграждение (без учета НДС)</w:t>
            </w:r>
            <w:r w:rsidRPr="00DA5C6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A5C66">
              <w:rPr>
                <w:b/>
                <w:bCs/>
                <w:color w:val="000000"/>
                <w:sz w:val="20"/>
                <w:szCs w:val="20"/>
              </w:rPr>
              <w:t>при проведении многоэтапного конкурса либо конкурса с предварительным квалификационным отбором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A51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>Агентское вознаграждение (без учета НДС) при проведении конкурентных переговоров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A51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>Агентское вознаграждение (без учета НДС) при проведении запроса предложений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3F1" w:rsidRPr="00DA5C66" w:rsidRDefault="000A23F1" w:rsidP="00A51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>Агентское вознаграждение (без учета НДС)</w:t>
            </w:r>
            <w:r w:rsidRPr="00DA5C6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A5C66">
              <w:rPr>
                <w:b/>
                <w:bCs/>
                <w:color w:val="000000"/>
                <w:sz w:val="20"/>
                <w:szCs w:val="20"/>
              </w:rPr>
              <w:t>при проведении запроса цен</w:t>
            </w:r>
          </w:p>
        </w:tc>
        <w:tc>
          <w:tcPr>
            <w:tcW w:w="1276" w:type="dxa"/>
            <w:vAlign w:val="center"/>
          </w:tcPr>
          <w:p w:rsidR="000A23F1" w:rsidRPr="00DA5C66" w:rsidRDefault="000A23F1" w:rsidP="00A006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5C66">
              <w:rPr>
                <w:b/>
                <w:bCs/>
                <w:color w:val="000000"/>
                <w:sz w:val="20"/>
                <w:szCs w:val="20"/>
              </w:rPr>
              <w:t>Агентское вознаграждение (без учета НДС)</w:t>
            </w:r>
            <w:r w:rsidRPr="00DA5C6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A5C66">
              <w:rPr>
                <w:b/>
                <w:bCs/>
                <w:color w:val="000000"/>
                <w:sz w:val="20"/>
                <w:szCs w:val="20"/>
              </w:rPr>
              <w:t>при проведении предварительного отбора</w:t>
            </w:r>
          </w:p>
        </w:tc>
      </w:tr>
      <w:tr w:rsidR="000A23F1" w:rsidRPr="00DA5C66" w:rsidTr="00A51773">
        <w:trPr>
          <w:trHeight w:val="5380"/>
        </w:trPr>
        <w:tc>
          <w:tcPr>
            <w:tcW w:w="129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До 350 млн. руб.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12771E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0,1335% от </w:t>
            </w:r>
            <w:r w:rsidR="00C2388B" w:rsidRPr="00DA5C66">
              <w:rPr>
                <w:color w:val="000000"/>
                <w:sz w:val="20"/>
                <w:szCs w:val="20"/>
              </w:rPr>
              <w:t>плановой стоимости</w:t>
            </w:r>
            <w:r w:rsidRPr="00DA5C66">
              <w:rPr>
                <w:color w:val="000000"/>
                <w:sz w:val="20"/>
                <w:szCs w:val="20"/>
              </w:rPr>
              <w:t xml:space="preserve"> лота с НДС, но не менее </w:t>
            </w:r>
          </w:p>
          <w:p w:rsidR="000A23F1" w:rsidRPr="00DA5C66" w:rsidRDefault="000A23F1" w:rsidP="00A00699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375 000 руб., при этом размер Агентского вознаграждения по лотам  c </w:t>
            </w:r>
            <w:r w:rsidR="00C2388B" w:rsidRPr="00DA5C66">
              <w:rPr>
                <w:color w:val="000000"/>
                <w:sz w:val="20"/>
                <w:szCs w:val="20"/>
              </w:rPr>
              <w:t xml:space="preserve">плановой </w:t>
            </w:r>
            <w:r w:rsidRPr="00DA5C66">
              <w:rPr>
                <w:color w:val="000000"/>
                <w:sz w:val="20"/>
                <w:szCs w:val="20"/>
              </w:rPr>
              <w:t>стоимостью лота до 15 млн.  руб. с НДС не может превышать 2,5% от плановой стоимости лота с НДС (в соответствии с ГКПЗ)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A00699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0,375% от плановой </w:t>
            </w:r>
            <w:r w:rsidR="00C2388B" w:rsidRPr="00DA5C66">
              <w:rPr>
                <w:color w:val="000000"/>
                <w:sz w:val="20"/>
                <w:szCs w:val="20"/>
              </w:rPr>
              <w:t xml:space="preserve">стоимости </w:t>
            </w:r>
            <w:r w:rsidRPr="00DA5C66">
              <w:rPr>
                <w:color w:val="000000"/>
                <w:sz w:val="20"/>
                <w:szCs w:val="20"/>
              </w:rPr>
              <w:t>лота с НДС, но не менее 575 000 руб., при этом размер Агентского вознаграждения по лотам  c Плановой стоимостью лота до 15 млн.  руб. с НДС не может превышать 2,5% от плановой стоимости лота с НДС (в соответствии с ГКПЗ)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A00699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245 000 руб., при этом размер Агентского вознаграждения по лотам c Плановой стоимостью лота до 15 млн.  руб. с НДС не может превышать 2,5% от плановой стоимости лота с НДС (в соответствии с ГКПЗ)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A00699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345 000 руб., при этом размер Агентского вознаграждения по лотам c Плановой стоимостью лота до 15 млн.  руб. с НДС не может превышать 2,5% от плановой стоимости лота с НДС (в соответствии с ГКПЗ)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A5C66">
              <w:rPr>
                <w:color w:val="000000"/>
                <w:sz w:val="20"/>
                <w:szCs w:val="20"/>
              </w:rPr>
              <w:t xml:space="preserve">49 500 руб., при этом размер Агентского вознаграждения по лотам  c Плановой стоимостью лота до 15 млн.  руб. с НДС не может превышать 2,5% от плановой стоимости лота с НДС (в соответствии с ГКПЗ))  </w:t>
            </w:r>
            <w:proofErr w:type="gramEnd"/>
          </w:p>
        </w:tc>
        <w:tc>
          <w:tcPr>
            <w:tcW w:w="1276" w:type="dxa"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375 000 руб., при этом размер Агентского вознаграждения по лотам  c Плановой стоимостью лота до 15 млн.  руб. с НДС не может превышать 2,5% от плановой стоимости лота с НДС (в соответствии с ГКПЗ)</w:t>
            </w:r>
          </w:p>
        </w:tc>
      </w:tr>
      <w:tr w:rsidR="000A23F1" w:rsidRPr="00DA5C66" w:rsidTr="00A51773">
        <w:trPr>
          <w:trHeight w:val="1215"/>
        </w:trPr>
        <w:tc>
          <w:tcPr>
            <w:tcW w:w="1291" w:type="dxa"/>
            <w:shd w:val="clear" w:color="auto" w:fill="auto"/>
            <w:vAlign w:val="center"/>
            <w:hideMark/>
          </w:tcPr>
          <w:p w:rsidR="000A23F1" w:rsidRPr="00DA5C66" w:rsidRDefault="000A23F1" w:rsidP="00F73958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свыше 350 млн. руб. до 750 млн. руб.  включительно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0A23F1" w:rsidRPr="00DA5C66" w:rsidRDefault="000A23F1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0,125% от плановой стоимости лота с НДС, но не менее 467 500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0,2% от плановой стоимости лота с НДС, но не менее 767 832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0,04% от плановой стоимости лота с НДС, но не менее 245 000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0,06% от плановой стоимости лота с НДС, но не менее 345 000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75 000 руб.</w:t>
            </w:r>
          </w:p>
        </w:tc>
        <w:tc>
          <w:tcPr>
            <w:tcW w:w="1276" w:type="dxa"/>
            <w:vAlign w:val="center"/>
          </w:tcPr>
          <w:p w:rsidR="000A23F1" w:rsidRPr="00DA5C66" w:rsidRDefault="000A23F1" w:rsidP="00A51773">
            <w:pPr>
              <w:jc w:val="center"/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375 000 руб.</w:t>
            </w:r>
          </w:p>
        </w:tc>
      </w:tr>
      <w:tr w:rsidR="000A23F1" w:rsidRPr="00DA5C66" w:rsidTr="00A51773">
        <w:trPr>
          <w:trHeight w:val="1525"/>
        </w:trPr>
        <w:tc>
          <w:tcPr>
            <w:tcW w:w="129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свыше 750 млн. руб. до 1,5 млрд. руб.  включительно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0,0845%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966 000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0,14%  от плановой стоимости лота с НДС, но не менее  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1 500 000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0,025%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325 000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0,035 %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450 000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95 000 руб.</w:t>
            </w:r>
          </w:p>
        </w:tc>
        <w:tc>
          <w:tcPr>
            <w:tcW w:w="1276" w:type="dxa"/>
            <w:vAlign w:val="center"/>
          </w:tcPr>
          <w:p w:rsidR="000A23F1" w:rsidRPr="00DA5C66" w:rsidRDefault="000A23F1" w:rsidP="00A51773">
            <w:pPr>
              <w:jc w:val="center"/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375 000 руб.</w:t>
            </w:r>
          </w:p>
        </w:tc>
      </w:tr>
      <w:tr w:rsidR="000A23F1" w:rsidRPr="00DA5C66" w:rsidTr="00A51773">
        <w:trPr>
          <w:trHeight w:val="1745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свыше 1,5 млрд. руб. до 5 млрд. руб.  включительно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0,0725 %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1 340 000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0,11% от плановой стоимости лота с НДС, но не менее  2 150 000 руб.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 2 150 000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0,008%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375 000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0,015%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525 000 руб.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95 000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3F1" w:rsidRPr="00DA5C66" w:rsidRDefault="000A23F1" w:rsidP="00A51773">
            <w:pPr>
              <w:jc w:val="center"/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375 000 руб.</w:t>
            </w:r>
          </w:p>
        </w:tc>
      </w:tr>
      <w:tr w:rsidR="000A23F1" w:rsidRPr="00DA5C66" w:rsidTr="00A51773">
        <w:trPr>
          <w:trHeight w:val="1825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A00699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свыше 5 млрд. руб. до 10 млрд. руб. включительно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0,05 %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3 725 000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0,075% от плановой стоимости лота с НДС, но не менее 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5 500 000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0,0045%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400 000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0,01%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750 000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95 000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3F1" w:rsidRPr="00DA5C66" w:rsidRDefault="000A23F1" w:rsidP="00A51773">
            <w:pPr>
              <w:jc w:val="center"/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375 000 руб.</w:t>
            </w:r>
          </w:p>
        </w:tc>
      </w:tr>
      <w:tr w:rsidR="000A23F1" w:rsidRPr="00DA5C66" w:rsidTr="00A51773">
        <w:trPr>
          <w:trHeight w:val="166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Свыше 10 млрд.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0,042%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5 500 000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 xml:space="preserve">0,14% от плановой стоимости лота с НДС, но не менее 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7 250 000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0,004%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450 000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0,0085%  от плановой стоимости лота с НДС, но не менее</w:t>
            </w:r>
          </w:p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1 000 000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95 000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F1" w:rsidRPr="00DA5C66" w:rsidRDefault="000A23F1" w:rsidP="00A51773">
            <w:pPr>
              <w:jc w:val="center"/>
              <w:rPr>
                <w:color w:val="000000"/>
                <w:sz w:val="20"/>
                <w:szCs w:val="20"/>
              </w:rPr>
            </w:pPr>
            <w:r w:rsidRPr="00DA5C66">
              <w:rPr>
                <w:color w:val="000000"/>
                <w:sz w:val="20"/>
                <w:szCs w:val="20"/>
              </w:rPr>
              <w:t>375 000 руб.</w:t>
            </w:r>
          </w:p>
        </w:tc>
      </w:tr>
      <w:tr w:rsidR="000A23F1" w:rsidRPr="00DA5C66" w:rsidTr="00A51773">
        <w:trPr>
          <w:trHeight w:val="283"/>
        </w:trPr>
        <w:tc>
          <w:tcPr>
            <w:tcW w:w="90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3F1" w:rsidRPr="00DA5C66" w:rsidRDefault="000A23F1" w:rsidP="00C023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9005F" w:rsidRPr="00A51773" w:rsidRDefault="0049005F" w:rsidP="00A51773">
      <w:pPr>
        <w:pStyle w:val="20"/>
        <w:keepNext w:val="0"/>
        <w:widowControl w:val="0"/>
        <w:numPr>
          <w:ilvl w:val="2"/>
          <w:numId w:val="28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 xml:space="preserve">Фиксированная часть размера вознаграждения </w:t>
      </w:r>
      <w:r w:rsidR="00EF3A68" w:rsidRPr="00A51773">
        <w:rPr>
          <w:rFonts w:ascii="Times New Roman" w:hAnsi="Times New Roman"/>
          <w:sz w:val="24"/>
          <w:szCs w:val="24"/>
          <w:lang w:val="ru-RU"/>
        </w:rPr>
        <w:t xml:space="preserve">для проведения закупочной </w:t>
      </w:r>
      <w:r w:rsidR="0030079A" w:rsidRPr="00DA5C66">
        <w:rPr>
          <w:rFonts w:ascii="Times New Roman" w:hAnsi="Times New Roman"/>
          <w:sz w:val="24"/>
          <w:szCs w:val="24"/>
          <w:lang w:val="ru-RU"/>
        </w:rPr>
        <w:t>процедуры,</w:t>
      </w:r>
      <w:r w:rsidR="00EF3A68" w:rsidRPr="00A5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15F7" w:rsidRPr="00DA5C66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gramStart"/>
      <w:r w:rsidR="005F15F7" w:rsidRPr="00DA5C66">
        <w:rPr>
          <w:rFonts w:ascii="Times New Roman" w:hAnsi="Times New Roman"/>
          <w:sz w:val="24"/>
          <w:szCs w:val="24"/>
          <w:lang w:val="ru-RU"/>
        </w:rPr>
        <w:t>рамках</w:t>
      </w:r>
      <w:proofErr w:type="gramEnd"/>
      <w:r w:rsidR="005F15F7" w:rsidRPr="00DA5C66">
        <w:rPr>
          <w:rFonts w:ascii="Times New Roman" w:hAnsi="Times New Roman"/>
          <w:sz w:val="24"/>
          <w:szCs w:val="24"/>
          <w:lang w:val="ru-RU"/>
        </w:rPr>
        <w:t xml:space="preserve"> которой установление плановой </w:t>
      </w:r>
      <w:r w:rsidR="00953F12">
        <w:rPr>
          <w:rFonts w:ascii="Times New Roman" w:hAnsi="Times New Roman"/>
          <w:sz w:val="24"/>
          <w:szCs w:val="24"/>
          <w:lang w:val="ru-RU"/>
        </w:rPr>
        <w:t>стоимости лота</w:t>
      </w:r>
      <w:r w:rsidR="005F15F7" w:rsidRPr="00DA5C66">
        <w:rPr>
          <w:rFonts w:ascii="Times New Roman" w:hAnsi="Times New Roman"/>
          <w:sz w:val="24"/>
          <w:szCs w:val="24"/>
          <w:lang w:val="ru-RU"/>
        </w:rPr>
        <w:t xml:space="preserve"> невозможно</w:t>
      </w:r>
      <w:r w:rsidRPr="00DA5C66">
        <w:rPr>
          <w:rFonts w:ascii="Times New Roman" w:hAnsi="Times New Roman"/>
          <w:sz w:val="24"/>
          <w:szCs w:val="24"/>
          <w:lang w:val="ru-RU"/>
        </w:rPr>
        <w:t>, составляет</w:t>
      </w:r>
      <w:r w:rsidR="00EF3A68" w:rsidRPr="00DA5C66">
        <w:rPr>
          <w:rFonts w:ascii="Times New Roman" w:hAnsi="Times New Roman"/>
          <w:sz w:val="24"/>
          <w:szCs w:val="24"/>
          <w:lang w:val="ru-RU"/>
        </w:rPr>
        <w:t xml:space="preserve"> 375 000 рублей.</w:t>
      </w:r>
      <w:r w:rsidRPr="00DA5C6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9005F" w:rsidRPr="00A51773" w:rsidRDefault="0049005F" w:rsidP="00A51773">
      <w:pPr>
        <w:pStyle w:val="1"/>
        <w:widowControl w:val="0"/>
        <w:numPr>
          <w:ilvl w:val="0"/>
          <w:numId w:val="0"/>
        </w:numPr>
        <w:tabs>
          <w:tab w:val="clear" w:pos="567"/>
        </w:tabs>
        <w:spacing w:before="0" w:after="0" w:line="240" w:lineRule="auto"/>
        <w:ind w:firstLine="709"/>
        <w:rPr>
          <w:position w:val="-30"/>
          <w:lang w:val="x-none"/>
        </w:rPr>
      </w:pPr>
    </w:p>
    <w:p w:rsidR="003E12F3" w:rsidRPr="00A51773" w:rsidRDefault="00913ABE" w:rsidP="00A51773">
      <w:pPr>
        <w:pStyle w:val="1"/>
        <w:widowControl w:val="0"/>
        <w:numPr>
          <w:ilvl w:val="0"/>
          <w:numId w:val="0"/>
        </w:numPr>
        <w:tabs>
          <w:tab w:val="clear" w:pos="567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A51773">
        <w:rPr>
          <w:rFonts w:ascii="Times New Roman" w:hAnsi="Times New Roman"/>
        </w:rPr>
        <w:t>3.4</w:t>
      </w:r>
      <w:r w:rsidR="003E12F3" w:rsidRPr="00A51773">
        <w:rPr>
          <w:rFonts w:ascii="Times New Roman" w:hAnsi="Times New Roman"/>
        </w:rPr>
        <w:t>.</w:t>
      </w:r>
      <w:r w:rsidR="00556059" w:rsidRPr="00A51773">
        <w:rPr>
          <w:rFonts w:ascii="Times New Roman" w:hAnsi="Times New Roman"/>
        </w:rPr>
        <w:tab/>
      </w:r>
      <w:r w:rsidR="003E12F3" w:rsidRPr="00A51773">
        <w:rPr>
          <w:rFonts w:ascii="Times New Roman" w:hAnsi="Times New Roman"/>
        </w:rPr>
        <w:t>Алгоритм расчета переменной части размера вознаграждения:</w:t>
      </w:r>
    </w:p>
    <w:p w:rsidR="00EE7EDD" w:rsidRPr="00A51773" w:rsidRDefault="00EE7EDD" w:rsidP="00A51773">
      <w:pPr>
        <w:pStyle w:val="20"/>
        <w:keepNext w:val="0"/>
        <w:widowControl w:val="0"/>
        <w:numPr>
          <w:ilvl w:val="2"/>
          <w:numId w:val="20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 xml:space="preserve">Переменная часть размера вознаграждения рассчитывается, исходя </w:t>
      </w:r>
      <w:r w:rsidR="00E25A88" w:rsidRPr="00DA5C66">
        <w:rPr>
          <w:rFonts w:ascii="Times New Roman" w:hAnsi="Times New Roman"/>
          <w:sz w:val="24"/>
          <w:szCs w:val="24"/>
          <w:lang w:val="ru-RU"/>
        </w:rPr>
        <w:t>из фиксированной части размера вознаграждения,</w:t>
      </w:r>
      <w:r w:rsidRPr="00DA5C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5A88" w:rsidRPr="00A51773">
        <w:rPr>
          <w:rFonts w:ascii="Times New Roman" w:hAnsi="Times New Roman"/>
          <w:sz w:val="24"/>
          <w:szCs w:val="24"/>
          <w:lang w:val="ru-RU"/>
        </w:rPr>
        <w:t>сложности, зависящей от количества участников (К</w:t>
      </w:r>
      <w:proofErr w:type="gramStart"/>
      <w:r w:rsidR="00312E96" w:rsidRPr="00DA5C66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E25A88" w:rsidRPr="00A51773">
        <w:rPr>
          <w:rFonts w:ascii="Times New Roman" w:hAnsi="Times New Roman"/>
          <w:sz w:val="24"/>
          <w:szCs w:val="24"/>
          <w:lang w:val="ru-RU"/>
        </w:rPr>
        <w:t xml:space="preserve">), и </w:t>
      </w:r>
      <w:r w:rsidRPr="00DA5C66">
        <w:rPr>
          <w:rFonts w:ascii="Times New Roman" w:hAnsi="Times New Roman"/>
          <w:sz w:val="24"/>
          <w:szCs w:val="24"/>
          <w:lang w:val="ru-RU"/>
        </w:rPr>
        <w:t>экономического эффекта, полученного Агентом в результате проведения закупочных процедур.</w:t>
      </w:r>
    </w:p>
    <w:p w:rsidR="005F15F7" w:rsidRPr="00DA5C66" w:rsidRDefault="005F15F7" w:rsidP="00A51773">
      <w:pPr>
        <w:pStyle w:val="20"/>
        <w:keepNext w:val="0"/>
        <w:widowControl w:val="0"/>
        <w:numPr>
          <w:ilvl w:val="0"/>
          <w:numId w:val="0"/>
        </w:num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0079A" w:rsidRPr="00DA5C66" w:rsidRDefault="0030079A" w:rsidP="00A51773">
      <w:pPr>
        <w:pStyle w:val="20"/>
        <w:keepNext w:val="0"/>
        <w:widowControl w:val="0"/>
        <w:numPr>
          <w:ilvl w:val="0"/>
          <w:numId w:val="0"/>
        </w:num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F15F7" w:rsidRPr="00DA5C66" w:rsidRDefault="005F15F7" w:rsidP="00A51773">
      <w:pPr>
        <w:pStyle w:val="20"/>
        <w:keepNext w:val="0"/>
        <w:widowControl w:val="0"/>
        <w:numPr>
          <w:ilvl w:val="0"/>
          <w:numId w:val="0"/>
        </w:num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25A88" w:rsidRPr="00DA5C66" w:rsidRDefault="00E25A88" w:rsidP="00A51773">
      <w:pPr>
        <w:pStyle w:val="20"/>
        <w:keepNext w:val="0"/>
        <w:widowControl w:val="0"/>
        <w:numPr>
          <w:ilvl w:val="0"/>
          <w:numId w:val="0"/>
        </w:numPr>
        <w:jc w:val="right"/>
        <w:rPr>
          <w:rFonts w:ascii="Times New Roman" w:hAnsi="Times New Roman"/>
          <w:sz w:val="24"/>
          <w:szCs w:val="24"/>
        </w:rPr>
      </w:pPr>
      <w:r w:rsidRPr="00DA5C66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EB7680" w:rsidRPr="00DA5C66">
        <w:rPr>
          <w:rFonts w:ascii="Times New Roman" w:hAnsi="Times New Roman"/>
          <w:sz w:val="24"/>
          <w:szCs w:val="24"/>
          <w:lang w:val="ru-RU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5032"/>
      </w:tblGrid>
      <w:tr w:rsidR="003E12F3" w:rsidRPr="00DA5C66" w:rsidTr="00EB7680">
        <w:tc>
          <w:tcPr>
            <w:tcW w:w="9889" w:type="dxa"/>
            <w:gridSpan w:val="2"/>
            <w:shd w:val="clear" w:color="auto" w:fill="auto"/>
          </w:tcPr>
          <w:p w:rsidR="003E12F3" w:rsidRPr="00DA5C66" w:rsidRDefault="00EB7680">
            <w:pPr>
              <w:pStyle w:val="20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773">
              <w:rPr>
                <w:rFonts w:ascii="Times New Roman" w:hAnsi="Times New Roman"/>
                <w:position w:val="-14"/>
                <w:sz w:val="24"/>
                <w:szCs w:val="24"/>
              </w:rPr>
              <w:object w:dxaOrig="2820" w:dyaOrig="380">
                <v:shape id="_x0000_i1050" type="#_x0000_t75" style="width:157.25pt;height:21.9pt" o:ole="">
                  <v:imagedata r:id="rId33" o:title=""/>
                </v:shape>
                <o:OLEObject Type="Embed" ProgID="Equation.3" ShapeID="_x0000_i1050" DrawAspect="Content" ObjectID="_1531585650" r:id="rId34"/>
              </w:object>
            </w:r>
            <w:r w:rsidR="003E12F3" w:rsidRPr="00DA5C66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t xml:space="preserve"> </w: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Формула </w:t>
            </w:r>
            <w:r w:rsidR="008119D1" w:rsidRPr="00DA5C6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AC2495" w:rsidRPr="00DA5C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E12F3" w:rsidRPr="00DA5C6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3E12F3" w:rsidRPr="00DA5C66" w:rsidTr="00EB7680">
        <w:tc>
          <w:tcPr>
            <w:tcW w:w="4857" w:type="dxa"/>
            <w:shd w:val="clear" w:color="auto" w:fill="auto"/>
          </w:tcPr>
          <w:p w:rsidR="003E12F3" w:rsidRPr="00DA5C66" w:rsidRDefault="003E12F3">
            <w:pPr>
              <w:pStyle w:val="20"/>
              <w:keepNext w:val="0"/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5C66">
              <w:rPr>
                <w:rFonts w:ascii="Times New Roman" w:hAnsi="Times New Roman"/>
                <w:sz w:val="24"/>
                <w:szCs w:val="24"/>
                <w:lang w:val="ru-RU"/>
              </w:rPr>
              <w:t>Порядок расчета</w:t>
            </w:r>
            <w:proofErr w:type="gramStart"/>
            <w:r w:rsidRPr="00DA5C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EB7680" w:rsidRPr="00A51773">
              <w:rPr>
                <w:rFonts w:ascii="Times New Roman" w:hAnsi="Times New Roman"/>
                <w:position w:val="-14"/>
                <w:sz w:val="24"/>
                <w:szCs w:val="24"/>
              </w:rPr>
              <w:object w:dxaOrig="920" w:dyaOrig="380">
                <v:shape id="_x0000_i1051" type="#_x0000_t75" style="width:46.1pt;height:17.3pt" o:ole="">
                  <v:imagedata r:id="rId35" o:title=""/>
                </v:shape>
                <o:OLEObject Type="Embed" ProgID="Equation.3" ShapeID="_x0000_i1051" DrawAspect="Content" ObjectID="_1531585651" r:id="rId36"/>
              </w:object>
            </w:r>
            <w:r w:rsidRPr="00DA5C66">
              <w:rPr>
                <w:rFonts w:ascii="Times New Roman" w:hAnsi="Times New Roman"/>
                <w:sz w:val="24"/>
                <w:szCs w:val="24"/>
                <w:lang w:val="ru-RU"/>
              </w:rPr>
              <w:t>):</w:t>
            </w:r>
            <w:proofErr w:type="gramEnd"/>
          </w:p>
        </w:tc>
        <w:tc>
          <w:tcPr>
            <w:tcW w:w="5032" w:type="dxa"/>
            <w:shd w:val="clear" w:color="auto" w:fill="auto"/>
          </w:tcPr>
          <w:p w:rsidR="003E12F3" w:rsidRPr="00DA5C66" w:rsidRDefault="006B5F68" w:rsidP="006B5F68">
            <w:pPr>
              <w:widowControl w:val="0"/>
            </w:pPr>
            <w:r w:rsidRPr="00A51773">
              <w:rPr>
                <w:position w:val="-14"/>
              </w:rPr>
              <w:object w:dxaOrig="2299" w:dyaOrig="380">
                <v:shape id="_x0000_i1052" type="#_x0000_t75" style="width:114.05pt;height:17.3pt" o:ole="">
                  <v:imagedata r:id="rId37" o:title=""/>
                </v:shape>
                <o:OLEObject Type="Embed" ProgID="Equation.3" ShapeID="_x0000_i1052" DrawAspect="Content" ObjectID="_1531585652" r:id="rId38"/>
              </w:object>
            </w:r>
            <w:r w:rsidR="003E12F3" w:rsidRPr="00A51773">
              <w:rPr>
                <w:position w:val="-14"/>
              </w:rPr>
              <w:tab/>
            </w:r>
            <w:r w:rsidRPr="00A51773">
              <w:rPr>
                <w:position w:val="-14"/>
              </w:rPr>
              <w:t xml:space="preserve">        </w:t>
            </w:r>
            <w:r w:rsidR="008119D1" w:rsidRPr="00A51773">
              <w:t>Формула (</w:t>
            </w:r>
            <w:r w:rsidR="00AC2495" w:rsidRPr="00A51773">
              <w:t>3</w:t>
            </w:r>
            <w:r w:rsidR="003E12F3" w:rsidRPr="00A51773">
              <w:t>)</w:t>
            </w:r>
            <w:r w:rsidR="003E12F3" w:rsidRPr="00A51773" w:rsidDel="00816A57">
              <w:t xml:space="preserve"> </w:t>
            </w:r>
          </w:p>
        </w:tc>
      </w:tr>
      <w:tr w:rsidR="003E12F3" w:rsidRPr="00DA5C66" w:rsidTr="008837A5">
        <w:tc>
          <w:tcPr>
            <w:tcW w:w="4857" w:type="dxa"/>
            <w:shd w:val="clear" w:color="auto" w:fill="auto"/>
          </w:tcPr>
          <w:p w:rsidR="003E12F3" w:rsidRPr="00DA5C66" w:rsidRDefault="003E12F3">
            <w:pPr>
              <w:pStyle w:val="20"/>
              <w:keepNext w:val="0"/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32" w:type="dxa"/>
            <w:shd w:val="clear" w:color="auto" w:fill="auto"/>
          </w:tcPr>
          <w:p w:rsidR="004B1BCA" w:rsidRPr="00DA5C66" w:rsidRDefault="008837A5" w:rsidP="00701AB3">
            <w:pPr>
              <w:widowControl w:val="0"/>
            </w:pPr>
            <w:r w:rsidRPr="00A51773">
              <w:rPr>
                <w:position w:val="-14"/>
              </w:rPr>
              <w:object w:dxaOrig="2740" w:dyaOrig="380">
                <v:shape id="_x0000_i1053" type="#_x0000_t75" style="width:152.65pt;height:22.45pt" o:ole="">
                  <v:imagedata r:id="rId39" o:title=""/>
                </v:shape>
                <o:OLEObject Type="Embed" ProgID="Equation.3" ShapeID="_x0000_i1053" DrawAspect="Content" ObjectID="_1531585653" r:id="rId40"/>
              </w:object>
            </w:r>
            <w:r w:rsidR="004B1BCA" w:rsidRPr="00A51773">
              <w:rPr>
                <w:position w:val="-14"/>
              </w:rPr>
              <w:t xml:space="preserve">, </w:t>
            </w:r>
            <w:r w:rsidR="008119D1" w:rsidRPr="00A51773">
              <w:t xml:space="preserve"> </w:t>
            </w:r>
          </w:p>
          <w:p w:rsidR="003E12F3" w:rsidRPr="00DA5C66" w:rsidRDefault="004B1BCA" w:rsidP="00701AB3">
            <w:pPr>
              <w:widowControl w:val="0"/>
            </w:pPr>
            <w:r w:rsidRPr="00A51773">
              <w:t xml:space="preserve">при </w:t>
            </w:r>
            <w:r w:rsidRPr="00A51773">
              <w:rPr>
                <w:position w:val="-12"/>
              </w:rPr>
              <w:object w:dxaOrig="1020" w:dyaOrig="360">
                <v:shape id="_x0000_i1054" type="#_x0000_t75" style="width:51.85pt;height:19pt" o:ole="">
                  <v:imagedata r:id="rId41" o:title=""/>
                </v:shape>
                <o:OLEObject Type="Embed" ProgID="Equation.3" ShapeID="_x0000_i1054" DrawAspect="Content" ObjectID="_1531585654" r:id="rId42"/>
              </w:object>
            </w:r>
            <w:r w:rsidR="006B5F68" w:rsidRPr="00A51773">
              <w:t xml:space="preserve"> </w:t>
            </w:r>
            <w:r w:rsidRPr="00A51773">
              <w:t>&lt;</w:t>
            </w:r>
            <w:r w:rsidR="006B5F68" w:rsidRPr="00A51773">
              <w:t xml:space="preserve"> </w:t>
            </w:r>
            <w:r w:rsidRPr="00A51773">
              <w:t xml:space="preserve">0, принимается </w:t>
            </w:r>
            <w:r w:rsidRPr="00A51773">
              <w:rPr>
                <w:position w:val="-12"/>
              </w:rPr>
              <w:object w:dxaOrig="999" w:dyaOrig="360">
                <v:shape id="_x0000_i1055" type="#_x0000_t75" style="width:51.25pt;height:19pt" o:ole="">
                  <v:imagedata r:id="rId17" o:title=""/>
                </v:shape>
                <o:OLEObject Type="Embed" ProgID="Equation.3" ShapeID="_x0000_i1055" DrawAspect="Content" ObjectID="_1531585655" r:id="rId43"/>
              </w:object>
            </w:r>
            <w:r w:rsidR="006B5F68" w:rsidRPr="00A51773">
              <w:t xml:space="preserve"> </w:t>
            </w:r>
            <w:r w:rsidRPr="00A51773">
              <w:t xml:space="preserve">= 0       </w:t>
            </w:r>
            <w:r w:rsidR="008119D1" w:rsidRPr="00A51773">
              <w:t>Формула (</w:t>
            </w:r>
            <w:r w:rsidR="00AC2495" w:rsidRPr="00A51773">
              <w:t>4</w:t>
            </w:r>
            <w:r w:rsidR="003E12F3" w:rsidRPr="00A51773">
              <w:t xml:space="preserve">) </w:t>
            </w:r>
          </w:p>
          <w:p w:rsidR="003E12F3" w:rsidRPr="00DA5C66" w:rsidRDefault="003E12F3" w:rsidP="00701AB3">
            <w:pPr>
              <w:widowControl w:val="0"/>
            </w:pPr>
          </w:p>
        </w:tc>
      </w:tr>
      <w:tr w:rsidR="003E12F3" w:rsidRPr="00DA5C66" w:rsidTr="00DD431F">
        <w:tc>
          <w:tcPr>
            <w:tcW w:w="4857" w:type="dxa"/>
            <w:shd w:val="clear" w:color="auto" w:fill="auto"/>
          </w:tcPr>
          <w:p w:rsidR="003E12F3" w:rsidRPr="00DA5C66" w:rsidRDefault="003E12F3">
            <w:pPr>
              <w:pStyle w:val="20"/>
              <w:keepNext w:val="0"/>
              <w:widowControl w:val="0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32" w:type="dxa"/>
            <w:shd w:val="clear" w:color="auto" w:fill="auto"/>
          </w:tcPr>
          <w:p w:rsidR="003E12F3" w:rsidRPr="00DA5C66" w:rsidRDefault="006B5F68" w:rsidP="00701AB3">
            <w:pPr>
              <w:widowControl w:val="0"/>
              <w:jc w:val="both"/>
            </w:pPr>
            <w:r w:rsidRPr="00A51773">
              <w:rPr>
                <w:position w:val="-34"/>
              </w:rPr>
              <w:object w:dxaOrig="1600" w:dyaOrig="1100">
                <v:shape id="_x0000_i1057" type="#_x0000_t75" style="width:89.3pt;height:63.35pt" o:ole="">
                  <v:imagedata r:id="rId44" o:title=""/>
                </v:shape>
                <o:OLEObject Type="Embed" ProgID="Equation.3" ShapeID="_x0000_i1057" DrawAspect="Content" ObjectID="_1531585656" r:id="rId45"/>
              </w:object>
            </w:r>
            <w:r w:rsidR="003E12F3" w:rsidRPr="00A51773">
              <w:tab/>
            </w:r>
            <w:r w:rsidRPr="00A51773">
              <w:t xml:space="preserve">                    </w:t>
            </w:r>
            <w:r w:rsidR="003E12F3" w:rsidRPr="00A51773">
              <w:t>Формула (</w:t>
            </w:r>
            <w:r w:rsidRPr="00A51773">
              <w:t>5</w:t>
            </w:r>
            <w:r w:rsidR="003E12F3" w:rsidRPr="00A51773">
              <w:t>)</w:t>
            </w:r>
          </w:p>
        </w:tc>
      </w:tr>
    </w:tbl>
    <w:p w:rsidR="003E12F3" w:rsidRPr="00DA5C66" w:rsidRDefault="003E12F3" w:rsidP="000031CC">
      <w:pPr>
        <w:widowControl w:val="0"/>
        <w:spacing w:line="276" w:lineRule="auto"/>
        <w:jc w:val="both"/>
        <w:rPr>
          <w:color w:val="000000"/>
        </w:rPr>
      </w:pPr>
      <w:r w:rsidRPr="00DA5C66">
        <w:rPr>
          <w:color w:val="000000"/>
          <w:position w:val="-30"/>
        </w:rPr>
        <w:t xml:space="preserve">        </w:t>
      </w:r>
    </w:p>
    <w:p w:rsidR="003E12F3" w:rsidRPr="00DA5C66" w:rsidRDefault="003E12F3" w:rsidP="00A51773">
      <w:pPr>
        <w:widowControl w:val="0"/>
        <w:spacing w:line="276" w:lineRule="auto"/>
        <w:jc w:val="both"/>
      </w:pPr>
      <w:r w:rsidRPr="00DA5C66">
        <w:rPr>
          <w:lang w:val="en-US"/>
        </w:rPr>
        <w:t>Q</w:t>
      </w:r>
      <w:r w:rsidRPr="00DA5C66">
        <w:t xml:space="preserve"> - </w:t>
      </w:r>
      <w:proofErr w:type="gramStart"/>
      <w:r w:rsidRPr="00DA5C66">
        <w:t>нормирующий</w:t>
      </w:r>
      <w:proofErr w:type="gramEnd"/>
      <w:r w:rsidRPr="00DA5C66">
        <w:t xml:space="preserve"> коэффициент, применяется по следующей шкале: </w:t>
      </w:r>
    </w:p>
    <w:p w:rsidR="003E12F3" w:rsidRPr="00DA5C66" w:rsidRDefault="003E12F3" w:rsidP="00A51773">
      <w:pPr>
        <w:widowControl w:val="0"/>
        <w:spacing w:line="276" w:lineRule="auto"/>
        <w:jc w:val="right"/>
      </w:pPr>
      <w:r w:rsidRPr="00DA5C66">
        <w:t xml:space="preserve">Таблица </w:t>
      </w:r>
      <w:r w:rsidR="008837A5" w:rsidRPr="00DA5C66">
        <w:t>4</w:t>
      </w:r>
    </w:p>
    <w:tbl>
      <w:tblPr>
        <w:tblW w:w="7513" w:type="dxa"/>
        <w:tblInd w:w="675" w:type="dxa"/>
        <w:tblLook w:val="04A0" w:firstRow="1" w:lastRow="0" w:firstColumn="1" w:lastColumn="0" w:noHBand="0" w:noVBand="1"/>
      </w:tblPr>
      <w:tblGrid>
        <w:gridCol w:w="4678"/>
        <w:gridCol w:w="2835"/>
      </w:tblGrid>
      <w:tr w:rsidR="003E12F3" w:rsidRPr="00DA5C66" w:rsidTr="00A51773">
        <w:trPr>
          <w:trHeight w:val="4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A5C66">
              <w:rPr>
                <w:b/>
              </w:rPr>
              <w:t xml:space="preserve">Плановая стоимость </w:t>
            </w:r>
            <w:r w:rsidR="008904F6" w:rsidRPr="00DA5C66">
              <w:rPr>
                <w:b/>
              </w:rPr>
              <w:t>лота</w:t>
            </w:r>
            <w:r w:rsidRPr="00DA5C66">
              <w:rPr>
                <w:b/>
              </w:rPr>
              <w:t>, руб. без НДС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A51773">
              <w:rPr>
                <w:b/>
              </w:rPr>
              <w:object w:dxaOrig="240" w:dyaOrig="320">
                <v:shape id="_x0000_i1060" type="#_x0000_t75" style="width:11.5pt;height:16.7pt" o:ole="">
                  <v:imagedata r:id="rId46" o:title=""/>
                </v:shape>
                <o:OLEObject Type="Embed" ProgID="Equation.3" ShapeID="_x0000_i1060" DrawAspect="Content" ObjectID="_1531585657" r:id="rId47"/>
              </w:object>
            </w:r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both"/>
            </w:pPr>
            <w:r w:rsidRPr="00DA5C66">
              <w:t>от 1 до 1</w:t>
            </w:r>
            <w:r w:rsidR="00F332D6" w:rsidRPr="00DA5C66">
              <w:t>0</w:t>
            </w:r>
            <w:r w:rsidR="00ED1934" w:rsidRPr="00DA5C66">
              <w:t>0</w:t>
            </w:r>
            <w:r w:rsidRPr="00DA5C66">
              <w:t> 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3" w:rsidRPr="00DA5C66" w:rsidRDefault="00F332D6" w:rsidP="00A51773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DA5C66">
              <w:rPr>
                <w:color w:val="000000"/>
              </w:rPr>
              <w:t>8</w:t>
            </w:r>
            <w:r w:rsidR="00440880" w:rsidRPr="00DA5C66">
              <w:rPr>
                <w:color w:val="000000"/>
              </w:rPr>
              <w:t>%</w:t>
            </w:r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12E96" w:rsidP="00A51773">
            <w:pPr>
              <w:widowControl w:val="0"/>
              <w:spacing w:line="276" w:lineRule="auto"/>
              <w:jc w:val="both"/>
            </w:pPr>
            <w:r w:rsidRPr="00DA5C66">
              <w:t xml:space="preserve">свыше </w:t>
            </w:r>
            <w:r w:rsidR="003E12F3" w:rsidRPr="00DA5C66">
              <w:t>100 000 00</w:t>
            </w:r>
            <w:r w:rsidRPr="00DA5C66">
              <w:t>0</w:t>
            </w:r>
            <w:r w:rsidR="003E12F3" w:rsidRPr="00DA5C66">
              <w:t xml:space="preserve"> </w:t>
            </w:r>
            <w:r w:rsidR="00F332D6" w:rsidRPr="00DA5C66">
              <w:t xml:space="preserve">до </w:t>
            </w:r>
            <w:r w:rsidR="003E12F3" w:rsidRPr="00DA5C66">
              <w:t>1 000 000 000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3" w:rsidRPr="00DA5C66" w:rsidRDefault="00F332D6" w:rsidP="00A51773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DA5C66">
              <w:rPr>
                <w:color w:val="000000"/>
              </w:rPr>
              <w:t>5</w:t>
            </w:r>
            <w:r w:rsidR="00440880" w:rsidRPr="00DA5C66">
              <w:rPr>
                <w:color w:val="000000"/>
              </w:rPr>
              <w:t>%</w:t>
            </w:r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both"/>
            </w:pPr>
            <w:r w:rsidRPr="00DA5C66">
              <w:t>свыше 1 000 000 00</w:t>
            </w:r>
            <w:r w:rsidR="00312E96" w:rsidRPr="00DA5C66"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F3" w:rsidRPr="00DA5C66" w:rsidRDefault="00F332D6" w:rsidP="00A51773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DA5C66">
              <w:rPr>
                <w:color w:val="000000"/>
              </w:rPr>
              <w:t>3</w:t>
            </w:r>
            <w:r w:rsidR="00440880" w:rsidRPr="00DA5C66">
              <w:rPr>
                <w:color w:val="000000"/>
              </w:rPr>
              <w:t>%</w:t>
            </w:r>
          </w:p>
        </w:tc>
      </w:tr>
    </w:tbl>
    <w:p w:rsidR="003E12F3" w:rsidRPr="00DA5C66" w:rsidRDefault="003E12F3" w:rsidP="00A51773">
      <w:pPr>
        <w:widowControl w:val="0"/>
        <w:spacing w:line="276" w:lineRule="auto"/>
        <w:jc w:val="both"/>
        <w:rPr>
          <w:lang w:val="en-US"/>
        </w:rPr>
      </w:pPr>
    </w:p>
    <w:p w:rsidR="003E12F3" w:rsidRPr="00A51773" w:rsidRDefault="008837A5" w:rsidP="00A51773">
      <w:pPr>
        <w:widowControl w:val="0"/>
        <w:spacing w:line="276" w:lineRule="auto"/>
        <w:jc w:val="right"/>
      </w:pPr>
      <w:r w:rsidRPr="00A51773">
        <w:t>Таблица 5</w:t>
      </w:r>
    </w:p>
    <w:p w:rsidR="006B5F68" w:rsidRPr="00DA5C66" w:rsidRDefault="006B5F68" w:rsidP="006B5F68">
      <w:pPr>
        <w:widowControl w:val="0"/>
        <w:spacing w:line="276" w:lineRule="auto"/>
        <w:jc w:val="both"/>
        <w:rPr>
          <w:b/>
        </w:rPr>
      </w:pPr>
      <w:r w:rsidRPr="00A51773">
        <w:t xml:space="preserve">Коэффициент сложности для переменной части агентского вознаграждения </w:t>
      </w:r>
      <w:r w:rsidRPr="00A51773">
        <w:rPr>
          <w:b/>
        </w:rPr>
        <w:t>(К</w:t>
      </w:r>
      <w:proofErr w:type="gramStart"/>
      <w:r w:rsidRPr="00A51773">
        <w:rPr>
          <w:b/>
        </w:rPr>
        <w:t>1</w:t>
      </w:r>
      <w:proofErr w:type="gramEnd"/>
      <w:r w:rsidRPr="00A51773">
        <w:rPr>
          <w:b/>
        </w:rPr>
        <w:t xml:space="preserve">)* </w:t>
      </w:r>
    </w:p>
    <w:tbl>
      <w:tblPr>
        <w:tblW w:w="7513" w:type="dxa"/>
        <w:tblInd w:w="675" w:type="dxa"/>
        <w:tblLook w:val="04A0" w:firstRow="1" w:lastRow="0" w:firstColumn="1" w:lastColumn="0" w:noHBand="0" w:noVBand="1"/>
      </w:tblPr>
      <w:tblGrid>
        <w:gridCol w:w="4678"/>
        <w:gridCol w:w="2835"/>
      </w:tblGrid>
      <w:tr w:rsidR="003E12F3" w:rsidRPr="00DA5C66" w:rsidTr="00A51773">
        <w:trPr>
          <w:trHeight w:val="2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F3" w:rsidRPr="00DA5C66" w:rsidRDefault="003E12F3">
            <w:pPr>
              <w:widowControl w:val="0"/>
              <w:jc w:val="center"/>
              <w:rPr>
                <w:b/>
              </w:rPr>
            </w:pPr>
            <w:r w:rsidRPr="00A51773">
              <w:rPr>
                <w:b/>
              </w:rPr>
              <w:t xml:space="preserve">Количество </w:t>
            </w:r>
            <w:r w:rsidR="00312E96" w:rsidRPr="00A51773">
              <w:rPr>
                <w:b/>
              </w:rPr>
              <w:t xml:space="preserve">заявок </w:t>
            </w:r>
            <w:r w:rsidRPr="00A51773">
              <w:rPr>
                <w:b/>
              </w:rPr>
              <w:t>участников, по которым состоялось вскрытие конвертов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2F3" w:rsidRPr="00DA5C66" w:rsidRDefault="00CF4314" w:rsidP="00A5177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DA5C66">
              <w:rPr>
                <w:b/>
              </w:rPr>
              <w:t>К</w:t>
            </w:r>
            <w:proofErr w:type="gramStart"/>
            <w:r w:rsidR="00312E96" w:rsidRPr="00DA5C66">
              <w:rPr>
                <w:b/>
              </w:rPr>
              <w:t>1</w:t>
            </w:r>
            <w:proofErr w:type="gramEnd"/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</w:pPr>
            <w:r w:rsidRPr="00DA5C66">
              <w:t>0-1 или вскрытие не состоялось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center"/>
            </w:pPr>
            <w:r w:rsidRPr="00DA5C66">
              <w:t>0,00</w:t>
            </w:r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</w:pPr>
            <w:r w:rsidRPr="00DA5C66">
              <w:t>2-5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center"/>
            </w:pPr>
            <w:r w:rsidRPr="00DA5C66">
              <w:t>0,10</w:t>
            </w:r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</w:pPr>
            <w:r w:rsidRPr="00DA5C66">
              <w:t>6-10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center"/>
            </w:pPr>
            <w:r w:rsidRPr="00DA5C66">
              <w:t>0,20</w:t>
            </w:r>
          </w:p>
        </w:tc>
      </w:tr>
      <w:tr w:rsidR="003E12F3" w:rsidRPr="00DA5C66" w:rsidTr="00A51773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</w:pPr>
            <w:r w:rsidRPr="00DA5C66">
              <w:t>Свыше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2F3" w:rsidRPr="00DA5C66" w:rsidRDefault="003E12F3" w:rsidP="00A51773">
            <w:pPr>
              <w:widowControl w:val="0"/>
              <w:spacing w:line="276" w:lineRule="auto"/>
              <w:jc w:val="center"/>
            </w:pPr>
            <w:r w:rsidRPr="00DA5C66">
              <w:t>0,30</w:t>
            </w:r>
          </w:p>
        </w:tc>
      </w:tr>
    </w:tbl>
    <w:p w:rsidR="006B5F68" w:rsidRPr="00DA5C66" w:rsidRDefault="006B5F68" w:rsidP="00A51773">
      <w:pPr>
        <w:widowControl w:val="0"/>
        <w:jc w:val="both"/>
        <w:rPr>
          <w:position w:val="-14"/>
        </w:rPr>
      </w:pPr>
      <w:r w:rsidRPr="00DA5C66">
        <w:t>*</w:t>
      </w:r>
      <w:r w:rsidRPr="00DA5C66">
        <w:t xml:space="preserve">Применяется только </w:t>
      </w:r>
      <w:r w:rsidR="00F332D6" w:rsidRPr="00DA5C66">
        <w:t xml:space="preserve">для </w:t>
      </w:r>
      <w:r w:rsidR="008939F0" w:rsidRPr="00DA5C66">
        <w:t>лотов</w:t>
      </w:r>
      <w:r w:rsidRPr="00DA5C66">
        <w:t xml:space="preserve">, </w:t>
      </w:r>
      <w:r w:rsidR="008939F0" w:rsidRPr="00DA5C66">
        <w:t xml:space="preserve">плановая стоимость </w:t>
      </w:r>
      <w:r w:rsidRPr="00DA5C66">
        <w:t>которых составляет более 200 млн. руб. (с НДС).</w:t>
      </w:r>
    </w:p>
    <w:p w:rsidR="003E12F3" w:rsidRPr="00DA5C66" w:rsidRDefault="003E12F3">
      <w:pPr>
        <w:widowControl w:val="0"/>
        <w:ind w:firstLine="709"/>
        <w:rPr>
          <w:position w:val="-14"/>
        </w:rPr>
      </w:pPr>
    </w:p>
    <w:p w:rsidR="003E12F3" w:rsidRPr="00A51773" w:rsidRDefault="007F3633" w:rsidP="00A51773">
      <w:pPr>
        <w:widowControl w:val="0"/>
        <w:tabs>
          <w:tab w:val="left" w:pos="567"/>
          <w:tab w:val="left" w:pos="1134"/>
          <w:tab w:val="left" w:pos="1843"/>
          <w:tab w:val="left" w:pos="2127"/>
        </w:tabs>
        <w:jc w:val="center"/>
        <w:rPr>
          <w:b/>
        </w:rPr>
      </w:pPr>
      <w:r w:rsidRPr="00DA5C66">
        <w:rPr>
          <w:b/>
        </w:rPr>
        <w:t>4.</w:t>
      </w:r>
      <w:r w:rsidRPr="00DA5C66">
        <w:rPr>
          <w:b/>
        </w:rPr>
        <w:tab/>
      </w:r>
      <w:r w:rsidR="003E12F3" w:rsidRPr="00A51773">
        <w:rPr>
          <w:b/>
        </w:rPr>
        <w:t xml:space="preserve">Порядок уплаты агентского вознаграждения в </w:t>
      </w:r>
      <w:proofErr w:type="gramStart"/>
      <w:r w:rsidR="003E12F3" w:rsidRPr="00A51773">
        <w:rPr>
          <w:b/>
        </w:rPr>
        <w:t>случаях</w:t>
      </w:r>
      <w:proofErr w:type="gramEnd"/>
      <w:r w:rsidR="003E12F3" w:rsidRPr="00A51773">
        <w:rPr>
          <w:b/>
        </w:rPr>
        <w:t xml:space="preserve"> признания закупочной процедуры несостоявшейся или её отмены.</w:t>
      </w:r>
    </w:p>
    <w:p w:rsidR="003E12F3" w:rsidRPr="00DA5C66" w:rsidRDefault="003E12F3" w:rsidP="00A51773">
      <w:pPr>
        <w:widowControl w:val="0"/>
        <w:tabs>
          <w:tab w:val="left" w:pos="1418"/>
        </w:tabs>
        <w:ind w:firstLine="709"/>
        <w:jc w:val="both"/>
      </w:pPr>
      <w:r w:rsidRPr="00DA5C66">
        <w:t>4.1.</w:t>
      </w:r>
      <w:r w:rsidR="007F3633" w:rsidRPr="00DA5C66">
        <w:tab/>
      </w:r>
      <w:r w:rsidRPr="00DA5C66">
        <w:t>В случае отмены закупочной процедуры по любым причинам во время проведения подготовительного этапа (от подготовки закупочной документации до опубликования информации о проведении закупочной процедуры) вознаграждение Агента составит 10% от вознаграждения, рассчитанного согласно разделу 3 настоящей Методики.</w:t>
      </w:r>
    </w:p>
    <w:p w:rsidR="00082F21" w:rsidRPr="00DA5C66" w:rsidRDefault="00082F21" w:rsidP="00A51773">
      <w:pPr>
        <w:widowControl w:val="0"/>
        <w:ind w:firstLine="709"/>
        <w:jc w:val="both"/>
      </w:pPr>
      <w:r w:rsidRPr="00DA5C66">
        <w:t>4.2.</w:t>
      </w:r>
      <w:r w:rsidR="007F3633" w:rsidRPr="00DA5C66">
        <w:tab/>
      </w:r>
      <w:r w:rsidRPr="00DA5C66">
        <w:t>В случае отсутствия заявок участников (не подано ни одной заявки) либо в случае, если после вскрытия конвертов с заявками закупочная процедура признана несостоявшейся, вознаграждение Агента составит 30 % от суммы вознаграждения, рассчитанного согласно разделу 3 настоящей Методики.</w:t>
      </w:r>
    </w:p>
    <w:p w:rsidR="003E12F3" w:rsidRPr="00DA5C66" w:rsidRDefault="003E12F3" w:rsidP="00A51773">
      <w:pPr>
        <w:widowControl w:val="0"/>
        <w:ind w:firstLine="709"/>
        <w:jc w:val="both"/>
      </w:pPr>
      <w:r w:rsidRPr="00DA5C66">
        <w:t>4.</w:t>
      </w:r>
      <w:r w:rsidR="00082F21" w:rsidRPr="00DA5C66">
        <w:t>3</w:t>
      </w:r>
      <w:r w:rsidRPr="00DA5C66">
        <w:t>.</w:t>
      </w:r>
      <w:r w:rsidR="007F3633" w:rsidRPr="00DA5C66">
        <w:tab/>
      </w:r>
      <w:r w:rsidRPr="00DA5C66">
        <w:t>В случае отмены закупочной процедуры после размещения извещения (уведомления) о проведении закупочной процедуры до вскрытия конвертов с заявками, вознаграждение Агента составит 50% от вознаграждения, рассчитанного согласно разделу 3 настоящей Методики.</w:t>
      </w:r>
    </w:p>
    <w:p w:rsidR="003E12F3" w:rsidRPr="00DA5C66" w:rsidRDefault="003E12F3" w:rsidP="00A51773">
      <w:pPr>
        <w:widowControl w:val="0"/>
        <w:ind w:firstLine="709"/>
        <w:jc w:val="both"/>
      </w:pPr>
      <w:r w:rsidRPr="00DA5C66">
        <w:t>4.4.</w:t>
      </w:r>
      <w:r w:rsidR="007F3633" w:rsidRPr="00DA5C66">
        <w:tab/>
      </w:r>
      <w:r w:rsidRPr="00DA5C66">
        <w:t>Если после вскрытия конвертов с заявками до выбора победителя закупочной процедуры закупочная процедура отменена по инициативе Принципала, вознаграждение Агента составит 75 % от суммы вознаграждения, рассчитанной согласно разделу 3 настоящей Методики.</w:t>
      </w:r>
    </w:p>
    <w:p w:rsidR="003E12F3" w:rsidRPr="00DA5C66" w:rsidRDefault="003E12F3" w:rsidP="00A51773">
      <w:pPr>
        <w:widowControl w:val="0"/>
        <w:ind w:firstLine="709"/>
        <w:jc w:val="both"/>
      </w:pPr>
      <w:r w:rsidRPr="00DA5C66">
        <w:t>4.5.</w:t>
      </w:r>
      <w:r w:rsidR="007F3633" w:rsidRPr="00DA5C66">
        <w:tab/>
      </w:r>
      <w:r w:rsidRPr="00DA5C66">
        <w:t xml:space="preserve">При возникновении случаев, порядок расчета вознаграждения по которым не определен настоящим пунктом, порядок расчета вознаграждения согласовывается сторонами в акте сдачи-приемки </w:t>
      </w:r>
      <w:r w:rsidR="008939F0" w:rsidRPr="00DA5C66">
        <w:t xml:space="preserve">поручений </w:t>
      </w:r>
      <w:r w:rsidRPr="00DA5C66">
        <w:t>и отчете Агента.</w:t>
      </w:r>
    </w:p>
    <w:p w:rsidR="003E12F3" w:rsidRPr="00DA5C66" w:rsidRDefault="007F3633" w:rsidP="00A51773">
      <w:pPr>
        <w:pStyle w:val="1"/>
        <w:widowControl w:val="0"/>
        <w:numPr>
          <w:ilvl w:val="0"/>
          <w:numId w:val="0"/>
        </w:numPr>
        <w:tabs>
          <w:tab w:val="clear" w:pos="567"/>
        </w:tabs>
        <w:spacing w:before="0" w:after="0" w:line="240" w:lineRule="auto"/>
        <w:ind w:left="540" w:hanging="540"/>
        <w:jc w:val="center"/>
        <w:rPr>
          <w:rFonts w:ascii="Times New Roman" w:hAnsi="Times New Roman"/>
          <w:b/>
        </w:rPr>
      </w:pPr>
      <w:r w:rsidRPr="00DA5C66">
        <w:rPr>
          <w:rFonts w:ascii="Times New Roman" w:hAnsi="Times New Roman"/>
          <w:b/>
        </w:rPr>
        <w:t>5.</w:t>
      </w:r>
      <w:r w:rsidRPr="00DA5C66">
        <w:rPr>
          <w:rFonts w:ascii="Times New Roman" w:hAnsi="Times New Roman"/>
          <w:b/>
        </w:rPr>
        <w:tab/>
      </w:r>
      <w:r w:rsidR="003E12F3" w:rsidRPr="00DA5C66">
        <w:rPr>
          <w:rFonts w:ascii="Times New Roman" w:hAnsi="Times New Roman"/>
          <w:b/>
        </w:rPr>
        <w:t>Отражение агентского вознаграждения в документации сторон.</w:t>
      </w:r>
    </w:p>
    <w:p w:rsidR="003E12F3" w:rsidRPr="00DA5C66" w:rsidRDefault="007F3633" w:rsidP="00A51773">
      <w:pPr>
        <w:widowControl w:val="0"/>
        <w:ind w:firstLine="709"/>
        <w:jc w:val="both"/>
      </w:pPr>
      <w:r w:rsidRPr="00DA5C66">
        <w:t>5.1.</w:t>
      </w:r>
      <w:r w:rsidRPr="00DA5C66">
        <w:tab/>
      </w:r>
      <w:r w:rsidR="003E12F3" w:rsidRPr="00DA5C66">
        <w:t xml:space="preserve">Фиксированная часть агентского вознаграждения указывается в </w:t>
      </w:r>
      <w:proofErr w:type="gramStart"/>
      <w:r w:rsidR="003E12F3" w:rsidRPr="00DA5C66">
        <w:t>поручении</w:t>
      </w:r>
      <w:proofErr w:type="gramEnd"/>
      <w:r w:rsidR="003E12F3" w:rsidRPr="00DA5C66">
        <w:t xml:space="preserve">, а затем в акте сдачи-приемки </w:t>
      </w:r>
      <w:r w:rsidR="008939F0" w:rsidRPr="00DA5C66">
        <w:t>поручений</w:t>
      </w:r>
      <w:r w:rsidR="003E12F3" w:rsidRPr="00DA5C66">
        <w:t>.</w:t>
      </w:r>
      <w:bookmarkStart w:id="1" w:name="_GoBack"/>
      <w:bookmarkEnd w:id="1"/>
    </w:p>
    <w:p w:rsidR="003E12F3" w:rsidRPr="00DA5C66" w:rsidRDefault="007F3633" w:rsidP="00A51773">
      <w:pPr>
        <w:widowControl w:val="0"/>
        <w:ind w:firstLine="709"/>
        <w:jc w:val="both"/>
      </w:pPr>
      <w:r w:rsidRPr="00DA5C66">
        <w:t>5.2.</w:t>
      </w:r>
      <w:r w:rsidRPr="00DA5C66">
        <w:tab/>
      </w:r>
      <w:r w:rsidR="003E12F3" w:rsidRPr="00DA5C66">
        <w:t xml:space="preserve">Переменная часть агентского вознаграждения указывается только в </w:t>
      </w:r>
      <w:proofErr w:type="gramStart"/>
      <w:r w:rsidR="003E12F3" w:rsidRPr="00DA5C66">
        <w:t>акте</w:t>
      </w:r>
      <w:proofErr w:type="gramEnd"/>
      <w:r w:rsidR="003E12F3" w:rsidRPr="00DA5C66">
        <w:t xml:space="preserve"> сдачи-приемки </w:t>
      </w:r>
      <w:r w:rsidR="008939F0" w:rsidRPr="00DA5C66">
        <w:t>поручений</w:t>
      </w:r>
      <w:r w:rsidR="003E12F3" w:rsidRPr="00DA5C66">
        <w:t>.</w:t>
      </w:r>
    </w:p>
    <w:p w:rsidR="003E12F3" w:rsidRPr="00DA5C66" w:rsidRDefault="003E12F3" w:rsidP="00701AB3">
      <w:pPr>
        <w:widowControl w:val="0"/>
        <w:spacing w:line="276" w:lineRule="auto"/>
        <w:ind w:firstLine="709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4638"/>
      </w:tblGrid>
      <w:tr w:rsidR="00082F21" w:rsidRPr="00DA5C66" w:rsidTr="00082F21">
        <w:trPr>
          <w:trHeight w:val="164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1" w:rsidRPr="00DA5C66" w:rsidRDefault="00082F21" w:rsidP="00082F21">
            <w:pPr>
              <w:rPr>
                <w:snapToGrid w:val="0"/>
                <w:szCs w:val="20"/>
                <w:lang w:eastAsia="en-US"/>
              </w:rPr>
            </w:pPr>
            <w:r w:rsidRPr="00DA5C66">
              <w:rPr>
                <w:snapToGrid w:val="0"/>
                <w:szCs w:val="20"/>
              </w:rPr>
              <w:t>Принципал</w:t>
            </w:r>
          </w:p>
          <w:p w:rsidR="00082F21" w:rsidRPr="00DA5C66" w:rsidRDefault="00082F21" w:rsidP="00082F21"/>
          <w:p w:rsidR="00082F21" w:rsidRPr="00DA5C66" w:rsidRDefault="00082F21" w:rsidP="00082F21">
            <w:r w:rsidRPr="00DA5C66">
              <w:t xml:space="preserve">_______________ </w:t>
            </w:r>
            <w:proofErr w:type="spellStart"/>
            <w:r w:rsidRPr="00DA5C66">
              <w:t>м.п</w:t>
            </w:r>
            <w:proofErr w:type="spellEnd"/>
            <w:r w:rsidRPr="00DA5C66">
              <w:t>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1" w:rsidRPr="00DA5C66" w:rsidRDefault="00082F21" w:rsidP="00082F21">
            <w:r w:rsidRPr="00DA5C66">
              <w:t>Агент</w:t>
            </w:r>
          </w:p>
          <w:p w:rsidR="00082F21" w:rsidRPr="00DA5C66" w:rsidRDefault="00082F21" w:rsidP="00082F21">
            <w:pPr>
              <w:jc w:val="both"/>
            </w:pPr>
            <w:r w:rsidRPr="00DA5C66">
              <w:t xml:space="preserve">АО «РГС» </w:t>
            </w:r>
          </w:p>
          <w:p w:rsidR="00082F21" w:rsidRPr="00DA5C66" w:rsidRDefault="00082F21" w:rsidP="00082F21">
            <w:r w:rsidRPr="00DA5C66">
              <w:t>Генеральный директор</w:t>
            </w:r>
          </w:p>
          <w:p w:rsidR="00082F21" w:rsidRPr="00DA5C66" w:rsidRDefault="00082F21" w:rsidP="00082F21">
            <w:pPr>
              <w:rPr>
                <w:snapToGrid w:val="0"/>
                <w:szCs w:val="20"/>
                <w:lang w:eastAsia="en-US"/>
              </w:rPr>
            </w:pPr>
          </w:p>
          <w:p w:rsidR="00082F21" w:rsidRPr="00DA5C66" w:rsidRDefault="00082F21" w:rsidP="00082F21">
            <w:pPr>
              <w:rPr>
                <w:snapToGrid w:val="0"/>
                <w:szCs w:val="20"/>
              </w:rPr>
            </w:pPr>
            <w:r w:rsidRPr="00DA5C66">
              <w:rPr>
                <w:snapToGrid w:val="0"/>
                <w:szCs w:val="20"/>
              </w:rPr>
              <w:t>Д. В. Торопов</w:t>
            </w:r>
          </w:p>
          <w:p w:rsidR="00082F21" w:rsidRPr="00DA5C66" w:rsidRDefault="00082F21" w:rsidP="00082F21">
            <w:pPr>
              <w:rPr>
                <w:snapToGrid w:val="0"/>
                <w:szCs w:val="20"/>
              </w:rPr>
            </w:pPr>
          </w:p>
          <w:p w:rsidR="00082F21" w:rsidRPr="00DA5C66" w:rsidRDefault="00082F21" w:rsidP="00082F21">
            <w:r w:rsidRPr="00DA5C66">
              <w:t xml:space="preserve">_______________ </w:t>
            </w:r>
            <w:proofErr w:type="spellStart"/>
            <w:r w:rsidRPr="00DA5C66">
              <w:t>м.п</w:t>
            </w:r>
            <w:proofErr w:type="spellEnd"/>
            <w:r w:rsidRPr="00DA5C66">
              <w:t>.</w:t>
            </w:r>
          </w:p>
        </w:tc>
      </w:tr>
      <w:bookmarkEnd w:id="0"/>
    </w:tbl>
    <w:p w:rsidR="00317174" w:rsidRPr="006866BE" w:rsidRDefault="00317174"/>
    <w:sectPr w:rsidR="00317174" w:rsidRPr="006866BE" w:rsidSect="00A51773">
      <w:footerReference w:type="default" r:id="rId48"/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F7" w:rsidRDefault="005F15F7" w:rsidP="0012599A">
      <w:r>
        <w:separator/>
      </w:r>
    </w:p>
  </w:endnote>
  <w:endnote w:type="continuationSeparator" w:id="0">
    <w:p w:rsidR="005F15F7" w:rsidRDefault="005F15F7" w:rsidP="001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5F7" w:rsidRDefault="005F15F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51773" w:rsidRPr="00A51773">
      <w:rPr>
        <w:noProof/>
        <w:lang w:val="ru-RU"/>
      </w:rPr>
      <w:t>1</w:t>
    </w:r>
    <w:r>
      <w:fldChar w:fldCharType="end"/>
    </w:r>
  </w:p>
  <w:p w:rsidR="005F15F7" w:rsidRDefault="005F15F7" w:rsidP="00C6536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F7" w:rsidRDefault="005F15F7" w:rsidP="0012599A">
      <w:r>
        <w:separator/>
      </w:r>
    </w:p>
  </w:footnote>
  <w:footnote w:type="continuationSeparator" w:id="0">
    <w:p w:rsidR="005F15F7" w:rsidRDefault="005F15F7" w:rsidP="001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30C0C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3372F"/>
    <w:multiLevelType w:val="multilevel"/>
    <w:tmpl w:val="708074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08B83289"/>
    <w:multiLevelType w:val="hybridMultilevel"/>
    <w:tmpl w:val="EADE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6185"/>
    <w:multiLevelType w:val="hybridMultilevel"/>
    <w:tmpl w:val="D52EC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53434"/>
    <w:multiLevelType w:val="multilevel"/>
    <w:tmpl w:val="B5121A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8153C4"/>
    <w:multiLevelType w:val="hybridMultilevel"/>
    <w:tmpl w:val="DA2EBF86"/>
    <w:lvl w:ilvl="0" w:tplc="4A506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EF4A86"/>
    <w:multiLevelType w:val="hybridMultilevel"/>
    <w:tmpl w:val="55A63B04"/>
    <w:lvl w:ilvl="0" w:tplc="06426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EA088C"/>
    <w:multiLevelType w:val="multilevel"/>
    <w:tmpl w:val="4A5AC6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A1A38A2"/>
    <w:multiLevelType w:val="multilevel"/>
    <w:tmpl w:val="E604EC3E"/>
    <w:lvl w:ilvl="0">
      <w:start w:val="1"/>
      <w:numFmt w:val="decimal"/>
      <w:pStyle w:val="1"/>
      <w:lvlText w:val="%1."/>
      <w:lvlJc w:val="left"/>
      <w:pPr>
        <w:ind w:left="501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571B7B"/>
    <w:multiLevelType w:val="multilevel"/>
    <w:tmpl w:val="D48A4F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>
    <w:nsid w:val="466147F8"/>
    <w:multiLevelType w:val="hybridMultilevel"/>
    <w:tmpl w:val="672C7D68"/>
    <w:lvl w:ilvl="0" w:tplc="FAFE7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E728DB"/>
    <w:multiLevelType w:val="hybridMultilevel"/>
    <w:tmpl w:val="317E2158"/>
    <w:lvl w:ilvl="0" w:tplc="404E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06F7"/>
    <w:multiLevelType w:val="hybridMultilevel"/>
    <w:tmpl w:val="AFD06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C1F08"/>
    <w:multiLevelType w:val="hybridMultilevel"/>
    <w:tmpl w:val="0EA0879C"/>
    <w:lvl w:ilvl="0" w:tplc="0504BF46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FE2EDA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5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D4381F"/>
    <w:multiLevelType w:val="hybridMultilevel"/>
    <w:tmpl w:val="6E8A38C0"/>
    <w:lvl w:ilvl="0" w:tplc="FAFE7D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5EA6183"/>
    <w:multiLevelType w:val="multilevel"/>
    <w:tmpl w:val="66763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8">
    <w:nsid w:val="7C4C5202"/>
    <w:multiLevelType w:val="multilevel"/>
    <w:tmpl w:val="DEA4B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633912"/>
    <w:multiLevelType w:val="multilevel"/>
    <w:tmpl w:val="4A04D61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D89343F"/>
    <w:multiLevelType w:val="hybridMultilevel"/>
    <w:tmpl w:val="2A66E66C"/>
    <w:lvl w:ilvl="0" w:tplc="FAFE7DF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9"/>
  </w:num>
  <w:num w:numId="21">
    <w:abstractNumId w:val="17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42"/>
    <w:rsid w:val="00001F64"/>
    <w:rsid w:val="000031CC"/>
    <w:rsid w:val="000146FD"/>
    <w:rsid w:val="00014F55"/>
    <w:rsid w:val="000305BA"/>
    <w:rsid w:val="00034350"/>
    <w:rsid w:val="00045248"/>
    <w:rsid w:val="00050ACA"/>
    <w:rsid w:val="00052E86"/>
    <w:rsid w:val="00053D26"/>
    <w:rsid w:val="00057246"/>
    <w:rsid w:val="00070031"/>
    <w:rsid w:val="00082F21"/>
    <w:rsid w:val="000949EB"/>
    <w:rsid w:val="000A23F1"/>
    <w:rsid w:val="000B0264"/>
    <w:rsid w:val="000B242B"/>
    <w:rsid w:val="000C544E"/>
    <w:rsid w:val="000C6A62"/>
    <w:rsid w:val="000D21F5"/>
    <w:rsid w:val="000D5289"/>
    <w:rsid w:val="000E0A03"/>
    <w:rsid w:val="000F33BB"/>
    <w:rsid w:val="00104930"/>
    <w:rsid w:val="001063D2"/>
    <w:rsid w:val="00117CCE"/>
    <w:rsid w:val="0012599A"/>
    <w:rsid w:val="001259F5"/>
    <w:rsid w:val="0012771E"/>
    <w:rsid w:val="00127C42"/>
    <w:rsid w:val="0014093F"/>
    <w:rsid w:val="00141272"/>
    <w:rsid w:val="00143CF7"/>
    <w:rsid w:val="00152EEC"/>
    <w:rsid w:val="00153FEC"/>
    <w:rsid w:val="001540BD"/>
    <w:rsid w:val="0016397D"/>
    <w:rsid w:val="001714AE"/>
    <w:rsid w:val="00171A78"/>
    <w:rsid w:val="00171C8F"/>
    <w:rsid w:val="00174523"/>
    <w:rsid w:val="001746C6"/>
    <w:rsid w:val="001824CA"/>
    <w:rsid w:val="00184902"/>
    <w:rsid w:val="00191516"/>
    <w:rsid w:val="00191D39"/>
    <w:rsid w:val="00196944"/>
    <w:rsid w:val="00197774"/>
    <w:rsid w:val="001E2004"/>
    <w:rsid w:val="001F03DE"/>
    <w:rsid w:val="00200BF6"/>
    <w:rsid w:val="00204A0D"/>
    <w:rsid w:val="002067FC"/>
    <w:rsid w:val="0022340C"/>
    <w:rsid w:val="00231582"/>
    <w:rsid w:val="00231E52"/>
    <w:rsid w:val="00232A90"/>
    <w:rsid w:val="002345FE"/>
    <w:rsid w:val="00237464"/>
    <w:rsid w:val="002410B1"/>
    <w:rsid w:val="00252706"/>
    <w:rsid w:val="002617D5"/>
    <w:rsid w:val="00265363"/>
    <w:rsid w:val="00273132"/>
    <w:rsid w:val="00275F87"/>
    <w:rsid w:val="00281268"/>
    <w:rsid w:val="00282D1A"/>
    <w:rsid w:val="00284B37"/>
    <w:rsid w:val="002918FD"/>
    <w:rsid w:val="002A232D"/>
    <w:rsid w:val="002B0506"/>
    <w:rsid w:val="002C60B6"/>
    <w:rsid w:val="002D20B6"/>
    <w:rsid w:val="002D22DB"/>
    <w:rsid w:val="002D5D44"/>
    <w:rsid w:val="002E3CF8"/>
    <w:rsid w:val="002E4275"/>
    <w:rsid w:val="002E59A4"/>
    <w:rsid w:val="002E767F"/>
    <w:rsid w:val="0030079A"/>
    <w:rsid w:val="0030102E"/>
    <w:rsid w:val="00301D82"/>
    <w:rsid w:val="003054AD"/>
    <w:rsid w:val="00312079"/>
    <w:rsid w:val="00312E96"/>
    <w:rsid w:val="003143C3"/>
    <w:rsid w:val="00314B89"/>
    <w:rsid w:val="00315AF8"/>
    <w:rsid w:val="00317174"/>
    <w:rsid w:val="003430A0"/>
    <w:rsid w:val="00350337"/>
    <w:rsid w:val="00354902"/>
    <w:rsid w:val="00357B9D"/>
    <w:rsid w:val="00377EE0"/>
    <w:rsid w:val="003805BF"/>
    <w:rsid w:val="00382E9B"/>
    <w:rsid w:val="00387A2C"/>
    <w:rsid w:val="00387E36"/>
    <w:rsid w:val="003948EC"/>
    <w:rsid w:val="00394A8B"/>
    <w:rsid w:val="00395AAC"/>
    <w:rsid w:val="003A0D0E"/>
    <w:rsid w:val="003A363D"/>
    <w:rsid w:val="003A4CF5"/>
    <w:rsid w:val="003A6F23"/>
    <w:rsid w:val="003B1AFD"/>
    <w:rsid w:val="003C45C5"/>
    <w:rsid w:val="003C613F"/>
    <w:rsid w:val="003D1B8D"/>
    <w:rsid w:val="003D3B48"/>
    <w:rsid w:val="003D5659"/>
    <w:rsid w:val="003E12F3"/>
    <w:rsid w:val="003E19B4"/>
    <w:rsid w:val="003E3B95"/>
    <w:rsid w:val="003E7B6B"/>
    <w:rsid w:val="00402A31"/>
    <w:rsid w:val="004104F8"/>
    <w:rsid w:val="0042023C"/>
    <w:rsid w:val="00422968"/>
    <w:rsid w:val="00424736"/>
    <w:rsid w:val="00427DE5"/>
    <w:rsid w:val="00432FEE"/>
    <w:rsid w:val="00434114"/>
    <w:rsid w:val="004351ED"/>
    <w:rsid w:val="00436F16"/>
    <w:rsid w:val="00436F7A"/>
    <w:rsid w:val="00440880"/>
    <w:rsid w:val="00441347"/>
    <w:rsid w:val="00444A9E"/>
    <w:rsid w:val="004451DD"/>
    <w:rsid w:val="0044643D"/>
    <w:rsid w:val="00450E41"/>
    <w:rsid w:val="00451D2C"/>
    <w:rsid w:val="00453A35"/>
    <w:rsid w:val="00477B3F"/>
    <w:rsid w:val="004818BD"/>
    <w:rsid w:val="0048582E"/>
    <w:rsid w:val="0049005F"/>
    <w:rsid w:val="004A0A9F"/>
    <w:rsid w:val="004A3387"/>
    <w:rsid w:val="004B1BCA"/>
    <w:rsid w:val="004C26E4"/>
    <w:rsid w:val="004E1B5A"/>
    <w:rsid w:val="004E1F92"/>
    <w:rsid w:val="004E48AE"/>
    <w:rsid w:val="004E6EB0"/>
    <w:rsid w:val="004E74F5"/>
    <w:rsid w:val="004F01FA"/>
    <w:rsid w:val="004F2274"/>
    <w:rsid w:val="004F49F1"/>
    <w:rsid w:val="004F7750"/>
    <w:rsid w:val="005075C9"/>
    <w:rsid w:val="0052362E"/>
    <w:rsid w:val="00534FAF"/>
    <w:rsid w:val="00541D90"/>
    <w:rsid w:val="00556059"/>
    <w:rsid w:val="005645EF"/>
    <w:rsid w:val="00572D4E"/>
    <w:rsid w:val="00574B20"/>
    <w:rsid w:val="00575BDD"/>
    <w:rsid w:val="005970E7"/>
    <w:rsid w:val="00597DB5"/>
    <w:rsid w:val="005A4FFB"/>
    <w:rsid w:val="005B17E2"/>
    <w:rsid w:val="005B1C4B"/>
    <w:rsid w:val="005B37D0"/>
    <w:rsid w:val="005C3FBC"/>
    <w:rsid w:val="005C6575"/>
    <w:rsid w:val="005C7265"/>
    <w:rsid w:val="005D2911"/>
    <w:rsid w:val="005D3319"/>
    <w:rsid w:val="005D403D"/>
    <w:rsid w:val="005F10F5"/>
    <w:rsid w:val="005F15F7"/>
    <w:rsid w:val="005F3223"/>
    <w:rsid w:val="005F464B"/>
    <w:rsid w:val="005F64E0"/>
    <w:rsid w:val="005F7379"/>
    <w:rsid w:val="005F7EA7"/>
    <w:rsid w:val="00600531"/>
    <w:rsid w:val="006006A0"/>
    <w:rsid w:val="00603CB5"/>
    <w:rsid w:val="006120FD"/>
    <w:rsid w:val="006209DE"/>
    <w:rsid w:val="0062464D"/>
    <w:rsid w:val="00624A68"/>
    <w:rsid w:val="00626CEB"/>
    <w:rsid w:val="00634930"/>
    <w:rsid w:val="00643746"/>
    <w:rsid w:val="0064423E"/>
    <w:rsid w:val="00654136"/>
    <w:rsid w:val="00670957"/>
    <w:rsid w:val="00684F0A"/>
    <w:rsid w:val="006866BE"/>
    <w:rsid w:val="006A0EE0"/>
    <w:rsid w:val="006A2364"/>
    <w:rsid w:val="006B0479"/>
    <w:rsid w:val="006B5F68"/>
    <w:rsid w:val="006C526D"/>
    <w:rsid w:val="006D13B3"/>
    <w:rsid w:val="006D1A75"/>
    <w:rsid w:val="006D4044"/>
    <w:rsid w:val="006D459A"/>
    <w:rsid w:val="006D62E3"/>
    <w:rsid w:val="006F2003"/>
    <w:rsid w:val="006F37BF"/>
    <w:rsid w:val="006F3F10"/>
    <w:rsid w:val="006F7521"/>
    <w:rsid w:val="00701AB3"/>
    <w:rsid w:val="00706024"/>
    <w:rsid w:val="00712F9D"/>
    <w:rsid w:val="0071531F"/>
    <w:rsid w:val="00731806"/>
    <w:rsid w:val="00733F4B"/>
    <w:rsid w:val="00751850"/>
    <w:rsid w:val="0075383E"/>
    <w:rsid w:val="00753919"/>
    <w:rsid w:val="00780252"/>
    <w:rsid w:val="00781540"/>
    <w:rsid w:val="00787FBD"/>
    <w:rsid w:val="00795312"/>
    <w:rsid w:val="007C3ABA"/>
    <w:rsid w:val="007C43EE"/>
    <w:rsid w:val="007D02E0"/>
    <w:rsid w:val="007D0F69"/>
    <w:rsid w:val="007D408F"/>
    <w:rsid w:val="007D71CD"/>
    <w:rsid w:val="007D7650"/>
    <w:rsid w:val="007E7421"/>
    <w:rsid w:val="007F017F"/>
    <w:rsid w:val="007F1BA5"/>
    <w:rsid w:val="007F3633"/>
    <w:rsid w:val="007F5989"/>
    <w:rsid w:val="008010FE"/>
    <w:rsid w:val="00803875"/>
    <w:rsid w:val="00805A35"/>
    <w:rsid w:val="008119D1"/>
    <w:rsid w:val="00816E53"/>
    <w:rsid w:val="0082325B"/>
    <w:rsid w:val="0082694B"/>
    <w:rsid w:val="00827545"/>
    <w:rsid w:val="0083116C"/>
    <w:rsid w:val="008423EC"/>
    <w:rsid w:val="00842732"/>
    <w:rsid w:val="00846EB9"/>
    <w:rsid w:val="00856E50"/>
    <w:rsid w:val="0086541D"/>
    <w:rsid w:val="00872102"/>
    <w:rsid w:val="00873868"/>
    <w:rsid w:val="008837A5"/>
    <w:rsid w:val="008869A4"/>
    <w:rsid w:val="00886F2C"/>
    <w:rsid w:val="00887F7D"/>
    <w:rsid w:val="008904F6"/>
    <w:rsid w:val="008939F0"/>
    <w:rsid w:val="008947DD"/>
    <w:rsid w:val="008961FD"/>
    <w:rsid w:val="008970DB"/>
    <w:rsid w:val="008A3280"/>
    <w:rsid w:val="008A4239"/>
    <w:rsid w:val="008B062E"/>
    <w:rsid w:val="008B079B"/>
    <w:rsid w:val="008D2B74"/>
    <w:rsid w:val="008D6A21"/>
    <w:rsid w:val="008D79B8"/>
    <w:rsid w:val="008E10C7"/>
    <w:rsid w:val="008E37C6"/>
    <w:rsid w:val="009010D3"/>
    <w:rsid w:val="00901C93"/>
    <w:rsid w:val="00902CDD"/>
    <w:rsid w:val="00913ABE"/>
    <w:rsid w:val="00913B27"/>
    <w:rsid w:val="00913CA5"/>
    <w:rsid w:val="00936571"/>
    <w:rsid w:val="009379D1"/>
    <w:rsid w:val="009475C4"/>
    <w:rsid w:val="00953D38"/>
    <w:rsid w:val="00953F12"/>
    <w:rsid w:val="0095425A"/>
    <w:rsid w:val="00955A8B"/>
    <w:rsid w:val="00964EAD"/>
    <w:rsid w:val="009751FF"/>
    <w:rsid w:val="0098014D"/>
    <w:rsid w:val="009831ED"/>
    <w:rsid w:val="009A58DF"/>
    <w:rsid w:val="009A5FFC"/>
    <w:rsid w:val="009A6650"/>
    <w:rsid w:val="009C624C"/>
    <w:rsid w:val="009D202B"/>
    <w:rsid w:val="009D321C"/>
    <w:rsid w:val="009E0098"/>
    <w:rsid w:val="009E4FFF"/>
    <w:rsid w:val="009E6A12"/>
    <w:rsid w:val="009E6B65"/>
    <w:rsid w:val="009E73C0"/>
    <w:rsid w:val="00A00699"/>
    <w:rsid w:val="00A07701"/>
    <w:rsid w:val="00A11EF4"/>
    <w:rsid w:val="00A13879"/>
    <w:rsid w:val="00A14F2F"/>
    <w:rsid w:val="00A23864"/>
    <w:rsid w:val="00A378B9"/>
    <w:rsid w:val="00A460DA"/>
    <w:rsid w:val="00A50328"/>
    <w:rsid w:val="00A5120B"/>
    <w:rsid w:val="00A51773"/>
    <w:rsid w:val="00A55CCC"/>
    <w:rsid w:val="00A57821"/>
    <w:rsid w:val="00A604C3"/>
    <w:rsid w:val="00A721A9"/>
    <w:rsid w:val="00A83406"/>
    <w:rsid w:val="00A91AE5"/>
    <w:rsid w:val="00A95FA9"/>
    <w:rsid w:val="00AA1569"/>
    <w:rsid w:val="00AA2E33"/>
    <w:rsid w:val="00AB0A29"/>
    <w:rsid w:val="00AC2495"/>
    <w:rsid w:val="00AC5500"/>
    <w:rsid w:val="00AE6EE2"/>
    <w:rsid w:val="00AF1857"/>
    <w:rsid w:val="00AF5C1F"/>
    <w:rsid w:val="00B02735"/>
    <w:rsid w:val="00B167ED"/>
    <w:rsid w:val="00B2479E"/>
    <w:rsid w:val="00B3624B"/>
    <w:rsid w:val="00B43CDD"/>
    <w:rsid w:val="00B509F9"/>
    <w:rsid w:val="00B540DA"/>
    <w:rsid w:val="00B5677D"/>
    <w:rsid w:val="00B600A4"/>
    <w:rsid w:val="00B636B7"/>
    <w:rsid w:val="00B663DB"/>
    <w:rsid w:val="00B757D9"/>
    <w:rsid w:val="00B84CB3"/>
    <w:rsid w:val="00B85055"/>
    <w:rsid w:val="00B90034"/>
    <w:rsid w:val="00B90778"/>
    <w:rsid w:val="00B969EC"/>
    <w:rsid w:val="00BA39AF"/>
    <w:rsid w:val="00BA76B3"/>
    <w:rsid w:val="00BB195E"/>
    <w:rsid w:val="00BB7364"/>
    <w:rsid w:val="00BC06E8"/>
    <w:rsid w:val="00BC0963"/>
    <w:rsid w:val="00BC207D"/>
    <w:rsid w:val="00BC41DB"/>
    <w:rsid w:val="00BC49F0"/>
    <w:rsid w:val="00BD1D6F"/>
    <w:rsid w:val="00BE4EAF"/>
    <w:rsid w:val="00BF0464"/>
    <w:rsid w:val="00BF0F66"/>
    <w:rsid w:val="00C023B4"/>
    <w:rsid w:val="00C03FB8"/>
    <w:rsid w:val="00C11138"/>
    <w:rsid w:val="00C11BB2"/>
    <w:rsid w:val="00C122A5"/>
    <w:rsid w:val="00C1455F"/>
    <w:rsid w:val="00C172E9"/>
    <w:rsid w:val="00C2388B"/>
    <w:rsid w:val="00C25CC8"/>
    <w:rsid w:val="00C32C98"/>
    <w:rsid w:val="00C41C60"/>
    <w:rsid w:val="00C50E11"/>
    <w:rsid w:val="00C550C9"/>
    <w:rsid w:val="00C6097D"/>
    <w:rsid w:val="00C65367"/>
    <w:rsid w:val="00C8335F"/>
    <w:rsid w:val="00CA02CD"/>
    <w:rsid w:val="00CA5815"/>
    <w:rsid w:val="00CA5B9E"/>
    <w:rsid w:val="00CC00B4"/>
    <w:rsid w:val="00CC573C"/>
    <w:rsid w:val="00CD3351"/>
    <w:rsid w:val="00CE07F3"/>
    <w:rsid w:val="00CE4CBF"/>
    <w:rsid w:val="00CE589D"/>
    <w:rsid w:val="00CF0C1A"/>
    <w:rsid w:val="00CF4314"/>
    <w:rsid w:val="00CF7D62"/>
    <w:rsid w:val="00D04B60"/>
    <w:rsid w:val="00D07AFA"/>
    <w:rsid w:val="00D14B1C"/>
    <w:rsid w:val="00D21A99"/>
    <w:rsid w:val="00D27041"/>
    <w:rsid w:val="00D321D5"/>
    <w:rsid w:val="00D44B68"/>
    <w:rsid w:val="00D51630"/>
    <w:rsid w:val="00D5261A"/>
    <w:rsid w:val="00D57241"/>
    <w:rsid w:val="00D655E8"/>
    <w:rsid w:val="00D708CE"/>
    <w:rsid w:val="00D70EAA"/>
    <w:rsid w:val="00D74D49"/>
    <w:rsid w:val="00D917B6"/>
    <w:rsid w:val="00D91A84"/>
    <w:rsid w:val="00D93EF1"/>
    <w:rsid w:val="00D972AA"/>
    <w:rsid w:val="00DA01CB"/>
    <w:rsid w:val="00DA5679"/>
    <w:rsid w:val="00DA5C66"/>
    <w:rsid w:val="00DB616D"/>
    <w:rsid w:val="00DC7A25"/>
    <w:rsid w:val="00DD0BAF"/>
    <w:rsid w:val="00DD431F"/>
    <w:rsid w:val="00DD4ED6"/>
    <w:rsid w:val="00DE020E"/>
    <w:rsid w:val="00DF4731"/>
    <w:rsid w:val="00DF6E8B"/>
    <w:rsid w:val="00E0325F"/>
    <w:rsid w:val="00E048E8"/>
    <w:rsid w:val="00E13AB3"/>
    <w:rsid w:val="00E25A88"/>
    <w:rsid w:val="00E302EA"/>
    <w:rsid w:val="00E44A9D"/>
    <w:rsid w:val="00E5261D"/>
    <w:rsid w:val="00E52C76"/>
    <w:rsid w:val="00E55B5D"/>
    <w:rsid w:val="00E61FD9"/>
    <w:rsid w:val="00E66F0A"/>
    <w:rsid w:val="00E73B99"/>
    <w:rsid w:val="00E73E12"/>
    <w:rsid w:val="00E75733"/>
    <w:rsid w:val="00E81FF3"/>
    <w:rsid w:val="00E820D4"/>
    <w:rsid w:val="00E852D0"/>
    <w:rsid w:val="00E862A5"/>
    <w:rsid w:val="00E87C43"/>
    <w:rsid w:val="00EB7487"/>
    <w:rsid w:val="00EB7680"/>
    <w:rsid w:val="00EC1B6B"/>
    <w:rsid w:val="00ED1934"/>
    <w:rsid w:val="00EE7C70"/>
    <w:rsid w:val="00EE7EDD"/>
    <w:rsid w:val="00EF042E"/>
    <w:rsid w:val="00EF27D2"/>
    <w:rsid w:val="00EF3A68"/>
    <w:rsid w:val="00EF43F3"/>
    <w:rsid w:val="00F02A67"/>
    <w:rsid w:val="00F07BB9"/>
    <w:rsid w:val="00F2497B"/>
    <w:rsid w:val="00F25965"/>
    <w:rsid w:val="00F332D6"/>
    <w:rsid w:val="00F36C0A"/>
    <w:rsid w:val="00F4141E"/>
    <w:rsid w:val="00F46AAC"/>
    <w:rsid w:val="00F529D6"/>
    <w:rsid w:val="00F55B42"/>
    <w:rsid w:val="00F60C7F"/>
    <w:rsid w:val="00F708CE"/>
    <w:rsid w:val="00F71FC1"/>
    <w:rsid w:val="00F73958"/>
    <w:rsid w:val="00F80E97"/>
    <w:rsid w:val="00F92B33"/>
    <w:rsid w:val="00F96377"/>
    <w:rsid w:val="00F96E27"/>
    <w:rsid w:val="00FA354B"/>
    <w:rsid w:val="00FA3B36"/>
    <w:rsid w:val="00FA5B20"/>
    <w:rsid w:val="00FA5D96"/>
    <w:rsid w:val="00FB0EA5"/>
    <w:rsid w:val="00FC3F6E"/>
    <w:rsid w:val="00FC79F9"/>
    <w:rsid w:val="00FD18C1"/>
    <w:rsid w:val="00FD6336"/>
    <w:rsid w:val="00FE00A2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7D7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7D7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27C42"/>
    <w:rPr>
      <w:sz w:val="25"/>
      <w:szCs w:val="20"/>
      <w:lang w:val="x-none" w:eastAsia="en-US"/>
    </w:rPr>
  </w:style>
  <w:style w:type="character" w:customStyle="1" w:styleId="a4">
    <w:name w:val="Основной текст Знак"/>
    <w:basedOn w:val="a0"/>
    <w:link w:val="a3"/>
    <w:rsid w:val="00127C42"/>
    <w:rPr>
      <w:rFonts w:ascii="Times New Roman" w:eastAsia="Times New Roman" w:hAnsi="Times New Roman" w:cs="Times New Roman"/>
      <w:sz w:val="25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80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rsid w:val="004C26E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26E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2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4C26E4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C2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09DE"/>
    <w:rPr>
      <w:color w:val="0000FF" w:themeColor="hyperlink"/>
      <w:u w:val="single"/>
    </w:rPr>
  </w:style>
  <w:style w:type="character" w:customStyle="1" w:styleId="12">
    <w:name w:val="Заголовок 1 Знак"/>
    <w:basedOn w:val="a0"/>
    <w:link w:val="11"/>
    <w:rsid w:val="007D765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10">
    <w:name w:val="Стиль1"/>
    <w:basedOn w:val="11"/>
    <w:rsid w:val="007D7650"/>
    <w:pPr>
      <w:numPr>
        <w:numId w:val="1"/>
      </w:numPr>
      <w:tabs>
        <w:tab w:val="left" w:pos="540"/>
      </w:tabs>
    </w:pPr>
    <w:rPr>
      <w:sz w:val="24"/>
      <w:szCs w:val="24"/>
    </w:rPr>
  </w:style>
  <w:style w:type="paragraph" w:customStyle="1" w:styleId="20">
    <w:name w:val="Стиль2"/>
    <w:basedOn w:val="21"/>
    <w:rsid w:val="007D7650"/>
    <w:pPr>
      <w:keepLines w:val="0"/>
      <w:numPr>
        <w:ilvl w:val="1"/>
        <w:numId w:val="1"/>
      </w:numPr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paragraph" w:styleId="ad">
    <w:name w:val="Title"/>
    <w:basedOn w:val="a"/>
    <w:link w:val="ae"/>
    <w:qFormat/>
    <w:rsid w:val="007D7650"/>
    <w:pPr>
      <w:jc w:val="center"/>
    </w:pPr>
    <w:rPr>
      <w:b/>
      <w:bCs/>
      <w:sz w:val="28"/>
      <w:lang w:val="x-none"/>
    </w:rPr>
  </w:style>
  <w:style w:type="character" w:customStyle="1" w:styleId="ae">
    <w:name w:val="Название Знак"/>
    <w:basedOn w:val="a0"/>
    <w:link w:val="ad"/>
    <w:rsid w:val="007D765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7D7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D76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Текст таблицы"/>
    <w:basedOn w:val="a"/>
    <w:link w:val="af2"/>
    <w:rsid w:val="007D7650"/>
    <w:pPr>
      <w:spacing w:before="40" w:after="60"/>
    </w:pPr>
    <w:rPr>
      <w:rFonts w:ascii="Arial" w:hAnsi="Arial"/>
      <w:sz w:val="16"/>
      <w:szCs w:val="20"/>
      <w:lang w:val="x-none" w:eastAsia="x-none"/>
    </w:rPr>
  </w:style>
  <w:style w:type="character" w:customStyle="1" w:styleId="af2">
    <w:name w:val="Текст таблицы Знак"/>
    <w:link w:val="af1"/>
    <w:rsid w:val="007D7650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1">
    <w:name w:val="Список 1 нумерованный"/>
    <w:basedOn w:val="a"/>
    <w:qFormat/>
    <w:rsid w:val="007D7650"/>
    <w:pPr>
      <w:numPr>
        <w:numId w:val="2"/>
      </w:numPr>
      <w:tabs>
        <w:tab w:val="left" w:pos="567"/>
      </w:tabs>
      <w:spacing w:before="60" w:after="60" w:line="288" w:lineRule="auto"/>
      <w:jc w:val="both"/>
    </w:pPr>
    <w:rPr>
      <w:rFonts w:ascii="Arial" w:hAnsi="Arial"/>
    </w:rPr>
  </w:style>
  <w:style w:type="paragraph" w:customStyle="1" w:styleId="2">
    <w:name w:val="Список 2 нумерованный"/>
    <w:basedOn w:val="1"/>
    <w:qFormat/>
    <w:rsid w:val="007D7650"/>
    <w:pPr>
      <w:numPr>
        <w:ilvl w:val="1"/>
      </w:numPr>
      <w:tabs>
        <w:tab w:val="left" w:pos="426"/>
      </w:tabs>
    </w:pPr>
  </w:style>
  <w:style w:type="paragraph" w:customStyle="1" w:styleId="3">
    <w:name w:val="Список 3 нумерованный"/>
    <w:basedOn w:val="1"/>
    <w:qFormat/>
    <w:rsid w:val="007D7650"/>
    <w:pPr>
      <w:numPr>
        <w:ilvl w:val="2"/>
      </w:numPr>
      <w:tabs>
        <w:tab w:val="left" w:pos="1843"/>
      </w:tabs>
      <w:ind w:left="993" w:firstLine="0"/>
    </w:pPr>
  </w:style>
  <w:style w:type="character" w:customStyle="1" w:styleId="22">
    <w:name w:val="Заголовок 2 Знак"/>
    <w:basedOn w:val="a0"/>
    <w:link w:val="21"/>
    <w:uiPriority w:val="9"/>
    <w:semiHidden/>
    <w:rsid w:val="007D7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12599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59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2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A3280"/>
    <w:pPr>
      <w:ind w:left="720"/>
      <w:contextualSpacing/>
    </w:pPr>
  </w:style>
  <w:style w:type="paragraph" w:customStyle="1" w:styleId="ConsPlusNonformat">
    <w:name w:val="ConsPlusNonformat"/>
    <w:rsid w:val="003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Light Shading"/>
    <w:basedOn w:val="a1"/>
    <w:uiPriority w:val="60"/>
    <w:rsid w:val="003430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430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Revision"/>
    <w:hidden/>
    <w:uiPriority w:val="99"/>
    <w:semiHidden/>
    <w:rsid w:val="00A0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7D76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1">
    <w:name w:val="heading 2"/>
    <w:basedOn w:val="a"/>
    <w:next w:val="a"/>
    <w:link w:val="22"/>
    <w:uiPriority w:val="9"/>
    <w:semiHidden/>
    <w:unhideWhenUsed/>
    <w:qFormat/>
    <w:rsid w:val="007D7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27C42"/>
    <w:rPr>
      <w:sz w:val="25"/>
      <w:szCs w:val="20"/>
      <w:lang w:val="x-none" w:eastAsia="en-US"/>
    </w:rPr>
  </w:style>
  <w:style w:type="character" w:customStyle="1" w:styleId="a4">
    <w:name w:val="Основной текст Знак"/>
    <w:basedOn w:val="a0"/>
    <w:link w:val="a3"/>
    <w:rsid w:val="00127C42"/>
    <w:rPr>
      <w:rFonts w:ascii="Times New Roman" w:eastAsia="Times New Roman" w:hAnsi="Times New Roman" w:cs="Times New Roman"/>
      <w:sz w:val="25"/>
      <w:szCs w:val="20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80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rsid w:val="004C26E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26E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2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4C26E4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C26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09DE"/>
    <w:rPr>
      <w:color w:val="0000FF" w:themeColor="hyperlink"/>
      <w:u w:val="single"/>
    </w:rPr>
  </w:style>
  <w:style w:type="character" w:customStyle="1" w:styleId="12">
    <w:name w:val="Заголовок 1 Знак"/>
    <w:basedOn w:val="a0"/>
    <w:link w:val="11"/>
    <w:rsid w:val="007D7650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10">
    <w:name w:val="Стиль1"/>
    <w:basedOn w:val="11"/>
    <w:rsid w:val="007D7650"/>
    <w:pPr>
      <w:numPr>
        <w:numId w:val="1"/>
      </w:numPr>
      <w:tabs>
        <w:tab w:val="left" w:pos="540"/>
      </w:tabs>
    </w:pPr>
    <w:rPr>
      <w:sz w:val="24"/>
      <w:szCs w:val="24"/>
    </w:rPr>
  </w:style>
  <w:style w:type="paragraph" w:customStyle="1" w:styleId="20">
    <w:name w:val="Стиль2"/>
    <w:basedOn w:val="21"/>
    <w:rsid w:val="007D7650"/>
    <w:pPr>
      <w:keepLines w:val="0"/>
      <w:numPr>
        <w:ilvl w:val="1"/>
        <w:numId w:val="1"/>
      </w:numPr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paragraph" w:styleId="ad">
    <w:name w:val="Title"/>
    <w:basedOn w:val="a"/>
    <w:link w:val="ae"/>
    <w:qFormat/>
    <w:rsid w:val="007D7650"/>
    <w:pPr>
      <w:jc w:val="center"/>
    </w:pPr>
    <w:rPr>
      <w:b/>
      <w:bCs/>
      <w:sz w:val="28"/>
      <w:lang w:val="x-none"/>
    </w:rPr>
  </w:style>
  <w:style w:type="character" w:customStyle="1" w:styleId="ae">
    <w:name w:val="Название Знак"/>
    <w:basedOn w:val="a0"/>
    <w:link w:val="ad"/>
    <w:rsid w:val="007D7650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f">
    <w:name w:val="footer"/>
    <w:basedOn w:val="a"/>
    <w:link w:val="af0"/>
    <w:uiPriority w:val="99"/>
    <w:rsid w:val="007D765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D765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1">
    <w:name w:val="Текст таблицы"/>
    <w:basedOn w:val="a"/>
    <w:link w:val="af2"/>
    <w:rsid w:val="007D7650"/>
    <w:pPr>
      <w:spacing w:before="40" w:after="60"/>
    </w:pPr>
    <w:rPr>
      <w:rFonts w:ascii="Arial" w:hAnsi="Arial"/>
      <w:sz w:val="16"/>
      <w:szCs w:val="20"/>
      <w:lang w:val="x-none" w:eastAsia="x-none"/>
    </w:rPr>
  </w:style>
  <w:style w:type="character" w:customStyle="1" w:styleId="af2">
    <w:name w:val="Текст таблицы Знак"/>
    <w:link w:val="af1"/>
    <w:rsid w:val="007D7650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1">
    <w:name w:val="Список 1 нумерованный"/>
    <w:basedOn w:val="a"/>
    <w:qFormat/>
    <w:rsid w:val="007D7650"/>
    <w:pPr>
      <w:numPr>
        <w:numId w:val="2"/>
      </w:numPr>
      <w:tabs>
        <w:tab w:val="left" w:pos="567"/>
      </w:tabs>
      <w:spacing w:before="60" w:after="60" w:line="288" w:lineRule="auto"/>
      <w:jc w:val="both"/>
    </w:pPr>
    <w:rPr>
      <w:rFonts w:ascii="Arial" w:hAnsi="Arial"/>
    </w:rPr>
  </w:style>
  <w:style w:type="paragraph" w:customStyle="1" w:styleId="2">
    <w:name w:val="Список 2 нумерованный"/>
    <w:basedOn w:val="1"/>
    <w:qFormat/>
    <w:rsid w:val="007D7650"/>
    <w:pPr>
      <w:numPr>
        <w:ilvl w:val="1"/>
      </w:numPr>
      <w:tabs>
        <w:tab w:val="left" w:pos="426"/>
      </w:tabs>
    </w:pPr>
  </w:style>
  <w:style w:type="paragraph" w:customStyle="1" w:styleId="3">
    <w:name w:val="Список 3 нумерованный"/>
    <w:basedOn w:val="1"/>
    <w:qFormat/>
    <w:rsid w:val="007D7650"/>
    <w:pPr>
      <w:numPr>
        <w:ilvl w:val="2"/>
      </w:numPr>
      <w:tabs>
        <w:tab w:val="left" w:pos="1843"/>
      </w:tabs>
      <w:ind w:left="993" w:firstLine="0"/>
    </w:pPr>
  </w:style>
  <w:style w:type="character" w:customStyle="1" w:styleId="22">
    <w:name w:val="Заголовок 2 Знак"/>
    <w:basedOn w:val="a0"/>
    <w:link w:val="21"/>
    <w:uiPriority w:val="9"/>
    <w:semiHidden/>
    <w:rsid w:val="007D7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12599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259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2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8A3280"/>
    <w:pPr>
      <w:ind w:left="720"/>
      <w:contextualSpacing/>
    </w:pPr>
  </w:style>
  <w:style w:type="paragraph" w:customStyle="1" w:styleId="ConsPlusNonformat">
    <w:name w:val="ConsPlusNonformat"/>
    <w:rsid w:val="003E1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Light Shading"/>
    <w:basedOn w:val="a1"/>
    <w:uiPriority w:val="60"/>
    <w:rsid w:val="003430A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430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8">
    <w:name w:val="Revision"/>
    <w:hidden/>
    <w:uiPriority w:val="99"/>
    <w:semiHidden/>
    <w:rsid w:val="00A0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F4EF-8EEE-4E55-BF84-F0015F19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TSYPILEV Aleksandr G.</dc:creator>
  <cp:lastModifiedBy>Шарафутдинова Альфия Айратовна</cp:lastModifiedBy>
  <cp:revision>8</cp:revision>
  <cp:lastPrinted>2016-07-19T10:45:00Z</cp:lastPrinted>
  <dcterms:created xsi:type="dcterms:W3CDTF">2016-07-22T14:56:00Z</dcterms:created>
  <dcterms:modified xsi:type="dcterms:W3CDTF">2016-08-01T16:33:00Z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IT_Petrukhina_EV</vt:lpwstr>
  </property>
  <property fmtid="{D5CDD505-2E9C-101B-9397-08002B2CF9AE}" pid="3" name="CustomObjectId">
    <vt:lpwstr>0900000282afbc01</vt:lpwstr>
  </property>
  <property fmtid="{D5CDD505-2E9C-101B-9397-08002B2CF9AE}" pid="4" name="CustomServerURL">
    <vt:lpwstr>http://asud.interrao.ru:7778/sedir/doc-upload</vt:lpwstr>
  </property>
  <property fmtid="{D5CDD505-2E9C-101B-9397-08002B2CF9AE}" pid="5" name="CustomUserId">
    <vt:lpwstr>IT_Avetisyan_KA</vt:lpwstr>
  </property>
  <property fmtid="{D5CDD505-2E9C-101B-9397-08002B2CF9AE}" pid="6" name="CustomObjectState">
    <vt:lpwstr>713117967</vt:lpwstr>
  </property>
  <property fmtid="{D5CDD505-2E9C-101B-9397-08002B2CF9AE}" pid="7" name="magic_key">
    <vt:lpwstr>WS-HQ-836L1.vavilinaa.Windows NT...10.99.130.141.127.0.0.1.W:\ДЗ\Блок Закупок\Вавилин\!Павлодольская ГЭС\Агентский Договор\договор.docm</vt:lpwstr>
  </property>
</Properties>
</file>