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AA2A" w14:textId="4F74F77E" w:rsidR="00D81C1D" w:rsidRPr="00406E1D" w:rsidRDefault="00206D08" w:rsidP="00206D08">
      <w:pPr>
        <w:widowControl w:val="0"/>
        <w:snapToGrid w:val="0"/>
        <w:spacing w:before="0"/>
        <w:jc w:val="right"/>
        <w:rPr>
          <w:b/>
          <w:caps/>
          <w:sz w:val="28"/>
        </w:rPr>
      </w:pPr>
      <w:bookmarkStart w:id="0" w:name="_Hlk50995294"/>
      <w:r w:rsidRPr="00406E1D">
        <w:rPr>
          <w:b/>
          <w:caps/>
          <w:sz w:val="28"/>
        </w:rPr>
        <w:t>ПРИЛОЖЕНИЕ №</w:t>
      </w:r>
      <w:r w:rsidR="00F24FB1">
        <w:rPr>
          <w:b/>
          <w:caps/>
          <w:sz w:val="28"/>
        </w:rPr>
        <w:t>6</w:t>
      </w:r>
      <w:bookmarkStart w:id="1" w:name="_GoBack"/>
      <w:bookmarkEnd w:id="1"/>
    </w:p>
    <w:p w14:paraId="2B35576E" w14:textId="77777777" w:rsidR="00D81C1D" w:rsidRDefault="00D81C1D" w:rsidP="00D9759B">
      <w:pPr>
        <w:widowControl w:val="0"/>
        <w:snapToGrid w:val="0"/>
        <w:spacing w:before="0"/>
        <w:jc w:val="center"/>
        <w:rPr>
          <w:b/>
          <w:caps/>
        </w:rPr>
      </w:pPr>
    </w:p>
    <w:p w14:paraId="0115E198" w14:textId="77777777" w:rsidR="00731DB9" w:rsidRDefault="00731DB9" w:rsidP="00D9759B">
      <w:pPr>
        <w:widowControl w:val="0"/>
        <w:snapToGrid w:val="0"/>
        <w:spacing w:before="0"/>
        <w:jc w:val="center"/>
        <w:rPr>
          <w:b/>
          <w:caps/>
        </w:rPr>
      </w:pPr>
    </w:p>
    <w:p w14:paraId="6E097098" w14:textId="3E8EA327" w:rsidR="00D9759B" w:rsidRDefault="000A7205" w:rsidP="00D9759B">
      <w:pPr>
        <w:widowControl w:val="0"/>
        <w:snapToGrid w:val="0"/>
        <w:spacing w:before="0"/>
        <w:jc w:val="center"/>
        <w:rPr>
          <w:b/>
          <w:bCs/>
          <w:iC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bookmarkEnd w:id="0"/>
      <w:r w:rsidR="007913EA">
        <w:rPr>
          <w:b/>
          <w:bCs/>
          <w:iCs/>
        </w:rPr>
        <w:t>АО «Ч</w:t>
      </w:r>
      <w:r w:rsidR="00900912">
        <w:rPr>
          <w:b/>
          <w:bCs/>
          <w:iCs/>
        </w:rPr>
        <w:t>УВАШСКАЯ ЭНЕРГОСБЫТОВАЯ КОМПАНИЯ</w:t>
      </w:r>
      <w:r w:rsidR="007913EA">
        <w:rPr>
          <w:b/>
          <w:bCs/>
          <w:iCs/>
        </w:rPr>
        <w:t>»</w:t>
      </w:r>
      <w:r w:rsidR="00D9759B">
        <w:rPr>
          <w:b/>
          <w:bCs/>
          <w:iCs/>
        </w:rPr>
        <w:t xml:space="preserve"> </w:t>
      </w:r>
    </w:p>
    <w:p w14:paraId="7A896526" w14:textId="07F31693" w:rsidR="00F6485B" w:rsidRPr="00896335" w:rsidRDefault="00D9759B" w:rsidP="00896335">
      <w:pPr>
        <w:widowControl w:val="0"/>
        <w:snapToGrid w:val="0"/>
        <w:spacing w:before="0" w:line="240" w:lineRule="auto"/>
        <w:jc w:val="center"/>
        <w:rPr>
          <w:b/>
          <w:caps/>
        </w:rPr>
      </w:pPr>
      <w:r w:rsidRPr="00896335">
        <w:rPr>
          <w:b/>
          <w:caps/>
        </w:rPr>
        <w:t>(</w:t>
      </w:r>
      <w:r w:rsidR="009B72E2" w:rsidRPr="00896335">
        <w:rPr>
          <w:b/>
          <w:caps/>
        </w:rPr>
        <w:t>для закупо</w:t>
      </w:r>
      <w:r w:rsidR="00D97163">
        <w:rPr>
          <w:b/>
          <w:caps/>
        </w:rPr>
        <w:t>к</w:t>
      </w:r>
      <w:r w:rsidR="009B72E2" w:rsidRPr="00896335">
        <w:rPr>
          <w:b/>
          <w:caps/>
        </w:rPr>
        <w:t xml:space="preserve">, участниками которых могут быть </w:t>
      </w:r>
      <w:r w:rsidR="00D97163">
        <w:rPr>
          <w:b/>
          <w:caps/>
        </w:rPr>
        <w:t xml:space="preserve">только </w:t>
      </w:r>
      <w:r w:rsidR="009B72E2" w:rsidRPr="00896335">
        <w:rPr>
          <w:b/>
          <w:caps/>
        </w:rPr>
        <w:t>субъекты МСП)</w:t>
      </w:r>
    </w:p>
    <w:p w14:paraId="05B74D0B" w14:textId="77777777" w:rsidR="00D9759B" w:rsidRDefault="00D9759B" w:rsidP="00163A0E">
      <w:pPr>
        <w:spacing w:before="0"/>
        <w:jc w:val="center"/>
        <w:rPr>
          <w:b/>
          <w:bCs/>
          <w:iCs/>
        </w:rPr>
      </w:pPr>
    </w:p>
    <w:p w14:paraId="5BB9F4C2" w14:textId="4E1BEB19" w:rsidR="00D9759B" w:rsidRDefault="00D9759B" w:rsidP="00163A0E">
      <w:pPr>
        <w:spacing w:before="0"/>
        <w:jc w:val="center"/>
        <w:rPr>
          <w:b/>
          <w:caps/>
        </w:rPr>
      </w:pPr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206D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0233754D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0B27B623" w14:textId="77777777" w:rsidR="00336940" w:rsidRDefault="00D94D9D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D8301CF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5E9294B" w14:textId="77777777" w:rsidR="00336940" w:rsidRDefault="00D94D9D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CE221AA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5A3238EB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53BE781F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D13148D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0085683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0AEBD202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13E4584B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3A1BE640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5B5CF725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188234BD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2DF885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3CA3F98F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9A9A45C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7C134D36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B86111F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314B9985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3C4D5331" w14:textId="77777777" w:rsidR="00336940" w:rsidRDefault="00D94D9D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D7D4A66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4A9C35D2" w14:textId="77777777" w:rsidR="00336940" w:rsidRDefault="00D94D9D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C9A269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03689048" w14:textId="77777777" w:rsidR="00336940" w:rsidRDefault="00D94D9D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D73D07A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2EAFBF3A" w:rsidR="00941CEC" w:rsidRDefault="0021005A" w:rsidP="00941CEC">
            <w:pPr>
              <w:pStyle w:val="2"/>
              <w:ind w:left="0"/>
            </w:pPr>
            <w:r>
              <w:t>АО «Чувашская энергосбытовая компания»</w:t>
            </w:r>
            <w:r w:rsidR="00941CEC" w:rsidRPr="004D1075">
              <w:t>, в интересах которо</w:t>
            </w:r>
            <w:r w:rsidR="00941CEC">
              <w:t>й</w:t>
            </w:r>
            <w:r w:rsidR="00941CEC"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3593DA7E" w:rsidR="00941CEC" w:rsidRDefault="00941CEC" w:rsidP="008D4DFD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Положением о закупке </w:t>
            </w:r>
            <w:r w:rsidR="008D4DFD">
              <w:t>товаров, работ, услуг для нужд</w:t>
            </w:r>
            <w:r>
              <w:t xml:space="preserve"> </w:t>
            </w:r>
            <w:r w:rsidR="0021005A">
              <w:t>АО «Чувашская энергосбытовая компания»</w:t>
            </w:r>
            <w:r>
              <w:t xml:space="preserve">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43600EFD" w:rsidR="00941CEC" w:rsidRDefault="00941CEC" w:rsidP="001653A7">
            <w:pPr>
              <w:pStyle w:val="2"/>
              <w:ind w:left="0"/>
              <w:jc w:val="left"/>
            </w:pPr>
          </w:p>
        </w:tc>
        <w:tc>
          <w:tcPr>
            <w:tcW w:w="425" w:type="dxa"/>
          </w:tcPr>
          <w:p w14:paraId="6C37D3F1" w14:textId="5FC27DC6" w:rsidR="00941CEC" w:rsidRDefault="00941CEC" w:rsidP="00B31E9C">
            <w:pPr>
              <w:pStyle w:val="2"/>
              <w:ind w:left="0"/>
              <w:jc w:val="center"/>
            </w:pPr>
          </w:p>
        </w:tc>
        <w:tc>
          <w:tcPr>
            <w:tcW w:w="6237" w:type="dxa"/>
          </w:tcPr>
          <w:p w14:paraId="34CAC654" w14:textId="2BB87DE5" w:rsidR="00941CEC" w:rsidRDefault="00941CEC" w:rsidP="00941CEC">
            <w:pPr>
              <w:pStyle w:val="2"/>
              <w:ind w:left="0"/>
            </w:pP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25849110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25849111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6A2A29F0" w:rsidR="00741038" w:rsidRPr="00B12C30" w:rsidRDefault="0021005A" w:rsidP="0065088F">
      <w:pPr>
        <w:pStyle w:val="111"/>
      </w:pPr>
      <w:r>
        <w:t>М</w:t>
      </w:r>
      <w:r w:rsidR="0034634F"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 w:rsidR="0034634F">
        <w:t>участник</w:t>
      </w:r>
      <w:r w:rsidR="0034634F"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>
        <w:t>АО «Чувашская энергосбытовая компания»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>Методика ДРиФС</w:t>
      </w:r>
      <w:bookmarkEnd w:id="5"/>
      <w:r w:rsidR="00741038" w:rsidRPr="00B12C30">
        <w:t>) разработана в целях реализации норм</w:t>
      </w:r>
      <w:r w:rsidR="00A16E08">
        <w:t xml:space="preserve"> </w:t>
      </w:r>
      <w:r>
        <w:t>П</w:t>
      </w:r>
      <w:r w:rsidR="00357AF0" w:rsidRPr="00B12C30">
        <w:t xml:space="preserve">оложения </w:t>
      </w:r>
      <w:r w:rsidR="00741038" w:rsidRPr="00B12C30">
        <w:t xml:space="preserve">о закупке </w:t>
      </w:r>
      <w:r w:rsidR="008D4DFD">
        <w:t>товаров, работ, услуг для нужд</w:t>
      </w:r>
      <w:r w:rsidR="00741038" w:rsidRPr="00B12C30">
        <w:t xml:space="preserve"> </w:t>
      </w:r>
      <w:r>
        <w:t>АО «Чувашская энергосбытовая компания»</w:t>
      </w:r>
      <w:r w:rsidR="00CA6760">
        <w:t xml:space="preserve">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2D50CAFA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21005A">
        <w:t>П</w:t>
      </w:r>
      <w:r w:rsidR="00357AF0" w:rsidRPr="00B12C30">
        <w:t xml:space="preserve">оложением </w:t>
      </w:r>
      <w:r w:rsidRPr="00B12C30">
        <w:t xml:space="preserve">о закупке </w:t>
      </w:r>
      <w:r w:rsidR="008D4DFD">
        <w:t>товаров, работ, услуг</w:t>
      </w:r>
      <w:r w:rsidRPr="00B12C30">
        <w:t xml:space="preserve"> для нужд </w:t>
      </w:r>
      <w:r w:rsidR="0021005A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25849112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25849113"/>
      <w:r w:rsidRPr="00B12C30">
        <w:t>Общие положения</w:t>
      </w:r>
      <w:bookmarkEnd w:id="8"/>
    </w:p>
    <w:p w14:paraId="72E32D4A" w14:textId="5CD560B6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</w:t>
      </w:r>
      <w:r w:rsidR="0021005A">
        <w:t>группы экономической безопасности АО «Чувашская энергосбытовая компания»</w:t>
      </w:r>
      <w:r w:rsidR="00421AA6">
        <w:t>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2E45B931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1D10F0">
        <w:rPr>
          <w:rStyle w:val="af2"/>
        </w:rPr>
        <w:footnoteReference w:id="2"/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3"/>
      </w:r>
      <w:r w:rsidRPr="00B12C30">
        <w:t>:</w:t>
      </w:r>
    </w:p>
    <w:p w14:paraId="1FC00DF3" w14:textId="1F65945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</w:t>
      </w:r>
      <w:r w:rsidR="004C35E5">
        <w:t xml:space="preserve"> </w:t>
      </w:r>
      <w:r w:rsidR="007F7F7E">
        <w:t>документах Участника</w:t>
      </w:r>
      <w:r w:rsidRPr="00B12C30">
        <w:t>;</w:t>
      </w:r>
    </w:p>
    <w:p w14:paraId="25E3EEA8" w14:textId="16F89384" w:rsidR="000A7205" w:rsidRPr="00B12C30" w:rsidRDefault="00AE1E95" w:rsidP="00896335">
      <w:pPr>
        <w:pStyle w:val="a"/>
        <w:numPr>
          <w:ilvl w:val="3"/>
          <w:numId w:val="3"/>
        </w:numPr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C92A2B">
        <w:t xml:space="preserve">, </w:t>
      </w:r>
      <w:r w:rsidR="00C92A2B" w:rsidRPr="00896335">
        <w:t>опубликованн</w:t>
      </w:r>
      <w:r w:rsidR="000B6009">
        <w:t>ой</w:t>
      </w:r>
      <w:r w:rsidR="00CE5391">
        <w:t xml:space="preserve"> на государственном информационном ресурсе бухгалтерской (финансовой) отчетности</w:t>
      </w:r>
      <w:r w:rsidR="00C92A2B" w:rsidRPr="00896335">
        <w:t xml:space="preserve"> (Интернет сайт</w:t>
      </w:r>
      <w:r w:rsidR="00CE5391">
        <w:t xml:space="preserve"> </w:t>
      </w:r>
      <w:r w:rsidR="00CE5391" w:rsidRPr="003B1D68">
        <w:t>Федеральной налоговой службой</w:t>
      </w:r>
      <w:r w:rsidR="00C92A2B" w:rsidRPr="00896335">
        <w:t xml:space="preserve"> nalog.ru</w:t>
      </w:r>
      <w:r w:rsidR="005D4099">
        <w:t>, далее Интернет сайт ФНС России</w:t>
      </w:r>
      <w:r w:rsidR="00915A6C">
        <w:t>)</w:t>
      </w:r>
    </w:p>
    <w:p w14:paraId="3C92260D" w14:textId="2C6B9855" w:rsidR="002D291B" w:rsidRPr="00B12C30" w:rsidRDefault="00E34958" w:rsidP="00C63CAC">
      <w:pPr>
        <w:pStyle w:val="11"/>
      </w:pPr>
      <w:bookmarkStart w:id="9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05FB0F39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502E4F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0856E5DE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502E4F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01F16809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502E4F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25849115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44602BE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502E4F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25849116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64F71B6A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</w:t>
      </w:r>
      <w:r w:rsidR="00C51555" w:rsidRPr="00724903">
        <w:t xml:space="preserve">участника - физического лица, зарегистрированного в качестве индивидуального предпринимателя, либо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административного наказания в виде дисквалификации </w:t>
      </w:r>
      <w:r w:rsidR="00C51555" w:rsidRPr="004C041C">
        <w:t>(проверка</w:t>
      </w:r>
      <w:r w:rsidR="00C51555">
        <w:t xml:space="preserve"> осуществляется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17A6EA7B" w:rsidR="00B87947" w:rsidRDefault="006874A5" w:rsidP="006874A5">
      <w:pPr>
        <w:pStyle w:val="a"/>
        <w:numPr>
          <w:ilvl w:val="3"/>
          <w:numId w:val="3"/>
        </w:numPr>
      </w:pPr>
      <w:r>
        <w:lastRenderedPageBreak/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</w:t>
      </w:r>
      <w:r w:rsidR="00B30F6C">
        <w:t>2</w:t>
      </w:r>
      <w:r w:rsidR="00B30F6C" w:rsidRPr="006874A5">
        <w:t xml:space="preserve"> </w:t>
      </w:r>
      <w:r w:rsidR="003E28D7">
        <w:t>(</w:t>
      </w:r>
      <w:r w:rsidR="00B30F6C">
        <w:t>два</w:t>
      </w:r>
      <w:r w:rsidR="003E28D7">
        <w:t xml:space="preserve">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>окументы, входящие в заявку, не должны содержать недостоверные 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6404F8A1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502E4F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25849117"/>
      <w:r>
        <w:t>Ограничивающие факторы</w:t>
      </w:r>
      <w:bookmarkEnd w:id="19"/>
      <w:bookmarkEnd w:id="20"/>
      <w:bookmarkEnd w:id="21"/>
      <w:bookmarkEnd w:id="22"/>
    </w:p>
    <w:p w14:paraId="418479DE" w14:textId="2E20279C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502E4F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 xml:space="preserve">, расположенной в информационно-коммуникационной сети </w:t>
      </w:r>
      <w:r w:rsidR="0019647B" w:rsidRPr="000E3801">
        <w:lastRenderedPageBreak/>
        <w:t>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>равна или 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1C6599CC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1340BAB1" w14:textId="2B32607D" w:rsidR="007F7655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502E4F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7F7655">
        <w:t>;</w:t>
      </w:r>
    </w:p>
    <w:p w14:paraId="6DD93182" w14:textId="797E3FBB" w:rsidR="00F12B56" w:rsidRPr="000E3801" w:rsidRDefault="007F7655">
      <w:pPr>
        <w:pStyle w:val="a"/>
      </w:pPr>
      <w:r>
        <w:t xml:space="preserve">отсутствие в отношении Участника опубликованной </w:t>
      </w:r>
      <w:r w:rsidRPr="003B1D68">
        <w:t xml:space="preserve">на Интернет сайте ФНС России бухгалтерской (финансовой) отчетности </w:t>
      </w:r>
      <w:r w:rsidR="008D75D2">
        <w:t>за период предыдущий последнему отчетному периоду, или за последний отчетный период</w:t>
      </w:r>
      <w:r w:rsidR="008D75D2">
        <w:rPr>
          <w:rStyle w:val="af2"/>
        </w:rPr>
        <w:footnoteReference w:id="4"/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25849118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283BD253" w14:textId="3DD08AB3" w:rsidR="00245462" w:rsidRPr="000E3801" w:rsidRDefault="00AE1E95" w:rsidP="00896335">
      <w:pPr>
        <w:pStyle w:val="111"/>
        <w:keepNext/>
      </w:pPr>
      <w:bookmarkStart w:id="30" w:name="_Ref471907991"/>
      <w:bookmarkStart w:id="31" w:name="_Ref72958859"/>
      <w:r w:rsidRPr="00A60224">
        <w:t>Для осуществления проверки финансово</w:t>
      </w:r>
      <w:r w:rsidR="00B27F5E" w:rsidRPr="00A60224">
        <w:t>го состояния</w:t>
      </w:r>
      <w:r w:rsidRPr="001A499F">
        <w:t xml:space="preserve"> </w:t>
      </w:r>
      <w:r w:rsidR="00B27F5E" w:rsidRPr="005456D3">
        <w:t>(</w:t>
      </w:r>
      <w:r w:rsidRPr="00A60224">
        <w:t>устойчивости</w:t>
      </w:r>
      <w:r w:rsidR="00B27F5E" w:rsidRPr="00A60224">
        <w:t>)</w:t>
      </w:r>
      <w:r w:rsidRPr="00A60224">
        <w:t xml:space="preserve"> </w:t>
      </w:r>
      <w:r w:rsidR="00FA71DC" w:rsidRPr="00A60224">
        <w:t xml:space="preserve">Участника </w:t>
      </w:r>
      <w:r w:rsidRPr="00A60224">
        <w:t>используются данные бухгалтерской (финансовой) отчетности</w:t>
      </w:r>
      <w:r w:rsidR="00A60224">
        <w:t>,</w:t>
      </w:r>
      <w:r w:rsidR="008E0F41" w:rsidRPr="00A60224">
        <w:t xml:space="preserve"> </w:t>
      </w:r>
      <w:r w:rsidR="00CF3D9F" w:rsidRPr="00A60224">
        <w:t>составленн</w:t>
      </w:r>
      <w:r w:rsidR="00A60224">
        <w:t xml:space="preserve">ой </w:t>
      </w:r>
      <w:r w:rsidR="00CF3D9F" w:rsidRPr="00A60224">
        <w:t xml:space="preserve">в </w:t>
      </w:r>
      <w:r w:rsidR="00CF3D9F" w:rsidRPr="00A60224">
        <w:lastRenderedPageBreak/>
        <w:t xml:space="preserve">соответствии с действующим законодательством РФ </w:t>
      </w:r>
      <w:r w:rsidR="00B32BFB">
        <w:t>и</w:t>
      </w:r>
      <w:r w:rsidR="00CF3D9F" w:rsidRPr="00A60224">
        <w:t xml:space="preserve"> </w:t>
      </w:r>
      <w:r w:rsidR="00A60224">
        <w:t xml:space="preserve">опубликованной </w:t>
      </w:r>
      <w:r w:rsidR="00B32BFB">
        <w:t xml:space="preserve">на </w:t>
      </w:r>
      <w:r w:rsidR="00016D9B">
        <w:t>Интернет сайте ФНС России</w:t>
      </w:r>
      <w:r w:rsidR="00FA71DC" w:rsidRPr="00A60224">
        <w:t>,</w:t>
      </w:r>
      <w:r w:rsidRPr="00A60224">
        <w:t xml:space="preserve"> а именно:</w:t>
      </w:r>
      <w:bookmarkEnd w:id="30"/>
      <w:r w:rsidR="0014051B">
        <w:t xml:space="preserve"> </w:t>
      </w:r>
      <w:bookmarkStart w:id="32" w:name="_Ref1051966"/>
      <w:r w:rsidR="00245462" w:rsidRPr="000E3801">
        <w:t>данные из бухгалтерского баланса (форма по ОКУД 0710001) и данные из отчета о финансовых результатах (форма по ОКУД 0710002)</w:t>
      </w:r>
      <w:bookmarkEnd w:id="31"/>
      <w:bookmarkEnd w:id="32"/>
    </w:p>
    <w:p w14:paraId="6B850A99" w14:textId="5E371FD3" w:rsidR="00F64C6D" w:rsidRPr="00C50063" w:rsidRDefault="00B95BAA" w:rsidP="00F64C6D">
      <w:pPr>
        <w:pStyle w:val="111"/>
        <w:keepNext/>
      </w:pPr>
      <w:bookmarkStart w:id="33" w:name="_Ref471912511"/>
      <w:r w:rsidRPr="00C50063">
        <w:t xml:space="preserve">Проверка </w:t>
      </w:r>
      <w:r w:rsidR="00F64C6D" w:rsidRPr="00C50063">
        <w:t>финансово</w:t>
      </w:r>
      <w:r w:rsidR="00B27F5E" w:rsidRPr="00C50063">
        <w:t>го состояния</w:t>
      </w:r>
      <w:r w:rsidR="00F64C6D" w:rsidRPr="00C50063">
        <w:t xml:space="preserve"> </w:t>
      </w:r>
      <w:r w:rsidR="00B27F5E" w:rsidRPr="00C50063">
        <w:t>(</w:t>
      </w:r>
      <w:r w:rsidR="00F64C6D" w:rsidRPr="00C50063">
        <w:t>устойчивости</w:t>
      </w:r>
      <w:r w:rsidR="00B27F5E" w:rsidRPr="00C50063">
        <w:t>)</w:t>
      </w:r>
      <w:r w:rsidR="00F64C6D" w:rsidRPr="00C50063">
        <w:t xml:space="preserve"> </w:t>
      </w:r>
      <w:r w:rsidRPr="00C50063">
        <w:t xml:space="preserve">осуществляется на основании </w:t>
      </w:r>
      <w:r w:rsidR="00F64C6D" w:rsidRPr="00C50063">
        <w:t>следующ</w:t>
      </w:r>
      <w:r w:rsidRPr="00C50063">
        <w:t xml:space="preserve">ей </w:t>
      </w:r>
      <w:r w:rsidR="00EF3921" w:rsidRPr="00C50063">
        <w:t>бухгалтерской (</w:t>
      </w:r>
      <w:r w:rsidRPr="00C50063">
        <w:t>финансовой</w:t>
      </w:r>
      <w:r w:rsidR="00EF3921" w:rsidRPr="00C50063">
        <w:t>)</w:t>
      </w:r>
      <w:r w:rsidRPr="00C50063">
        <w:t xml:space="preserve"> отчетности</w:t>
      </w:r>
      <w:r w:rsidR="00F64C6D" w:rsidRPr="00C50063">
        <w:t>:</w:t>
      </w:r>
      <w:bookmarkEnd w:id="33"/>
    </w:p>
    <w:p w14:paraId="63B620F0" w14:textId="52C2650E" w:rsidR="00154B32" w:rsidRPr="00C50063" w:rsidRDefault="00097A60" w:rsidP="00896335">
      <w:pPr>
        <w:pStyle w:val="a"/>
        <w:numPr>
          <w:ilvl w:val="3"/>
          <w:numId w:val="11"/>
        </w:numPr>
      </w:pPr>
      <w:r w:rsidRPr="00C50063">
        <w:t xml:space="preserve">для участников, </w:t>
      </w:r>
      <w:r w:rsidR="005D4099" w:rsidRPr="00896335">
        <w:t xml:space="preserve">в отношении которых </w:t>
      </w:r>
      <w:r w:rsidR="000032E3" w:rsidRPr="00C50063">
        <w:t>на момент</w:t>
      </w:r>
      <w:r w:rsidR="00D42E1D" w:rsidRPr="00C50063">
        <w:t xml:space="preserve"> </w:t>
      </w:r>
      <w:r w:rsidR="000032E3" w:rsidRPr="00C50063">
        <w:t xml:space="preserve">подачи заявки </w:t>
      </w:r>
      <w:r w:rsidR="005D4099" w:rsidRPr="00896335">
        <w:t>имеется опубликованная</w:t>
      </w:r>
      <w:r w:rsidR="00016D9B" w:rsidRPr="00896335">
        <w:t xml:space="preserve"> </w:t>
      </w:r>
      <w:r w:rsidR="00016D9B" w:rsidRPr="00C50063">
        <w:t>на Интернет сайте ФНС России</w:t>
      </w:r>
      <w:r w:rsidR="005D4099" w:rsidRPr="00896335">
        <w:t xml:space="preserve"> </w:t>
      </w:r>
      <w:r w:rsidR="00E673D6" w:rsidRPr="00C50063">
        <w:t>бухгалтерск</w:t>
      </w:r>
      <w:r w:rsidR="00E673D6" w:rsidRPr="00896335">
        <w:t>ая</w:t>
      </w:r>
      <w:r w:rsidR="00E673D6" w:rsidRPr="00C50063">
        <w:t xml:space="preserve"> </w:t>
      </w:r>
      <w:r w:rsidRPr="00C50063">
        <w:t>(финансов</w:t>
      </w:r>
      <w:r w:rsidR="00C14986" w:rsidRPr="00896335">
        <w:t>ая</w:t>
      </w:r>
      <w:r w:rsidRPr="00C50063">
        <w:t>) отчетность по двум и более отчетным периодам (</w:t>
      </w:r>
      <w:r w:rsidR="00DB39A7" w:rsidRPr="00C50063">
        <w:t xml:space="preserve">далее – </w:t>
      </w:r>
      <w:r w:rsidRPr="00896335">
        <w:rPr>
          <w:b/>
          <w:bCs/>
        </w:rPr>
        <w:t>тип 1 участников</w:t>
      </w:r>
      <w:r w:rsidRPr="00C50063">
        <w:t xml:space="preserve">), </w:t>
      </w:r>
      <w:r w:rsidR="00C629AC" w:rsidRPr="00C50063">
        <w:t xml:space="preserve">– </w:t>
      </w:r>
      <w:r w:rsidRPr="00C50063">
        <w:t xml:space="preserve">проверка </w:t>
      </w:r>
      <w:r w:rsidR="006D2EFA" w:rsidRPr="00C50063">
        <w:t xml:space="preserve">осуществляется по </w:t>
      </w:r>
      <w:r w:rsidR="00E673D6" w:rsidRPr="00896335">
        <w:t xml:space="preserve">опубликованной </w:t>
      </w:r>
      <w:r w:rsidR="006D2EFA" w:rsidRPr="00C50063">
        <w:t>бухгалтерской</w:t>
      </w:r>
      <w:r w:rsidR="00084725" w:rsidRPr="00896335">
        <w:t xml:space="preserve"> </w:t>
      </w:r>
      <w:r w:rsidR="006D2EFA" w:rsidRPr="00C50063">
        <w:t xml:space="preserve">(финансовой) отчетности </w:t>
      </w:r>
      <w:r w:rsidR="00084725" w:rsidRPr="00896335">
        <w:t>на</w:t>
      </w:r>
      <w:r w:rsidR="000032E3" w:rsidRPr="00C50063">
        <w:t xml:space="preserve"> </w:t>
      </w:r>
      <w:r w:rsidR="00084725" w:rsidRPr="00C50063">
        <w:t>последн</w:t>
      </w:r>
      <w:r w:rsidR="00084725" w:rsidRPr="00896335">
        <w:t>юю</w:t>
      </w:r>
      <w:r w:rsidR="00084725" w:rsidRPr="00C50063">
        <w:t xml:space="preserve"> отчетн</w:t>
      </w:r>
      <w:r w:rsidR="00084725" w:rsidRPr="00896335">
        <w:t xml:space="preserve">ую дату, </w:t>
      </w:r>
      <w:r w:rsidR="00DB39A7" w:rsidRPr="00C50063">
        <w:t>по данным</w:t>
      </w:r>
      <w:r w:rsidR="00154B32" w:rsidRPr="00C50063">
        <w:t xml:space="preserve"> </w:t>
      </w:r>
      <w:r w:rsidR="00B27F5E" w:rsidRPr="00C50063">
        <w:t>2 (</w:t>
      </w:r>
      <w:r w:rsidR="00154B32" w:rsidRPr="00C50063">
        <w:t>двух</w:t>
      </w:r>
      <w:r w:rsidR="00B27F5E" w:rsidRPr="00C50063">
        <w:t>)</w:t>
      </w:r>
      <w:r w:rsidR="00154B32" w:rsidRPr="00C50063">
        <w:t xml:space="preserve"> отчетных периодов</w:t>
      </w:r>
      <w:r w:rsidR="00DB39A7" w:rsidRPr="00C50063">
        <w:t xml:space="preserve">, </w:t>
      </w:r>
      <w:r w:rsidR="00084725" w:rsidRPr="00896335">
        <w:t>а именно</w:t>
      </w:r>
      <w:r w:rsidR="00154B32" w:rsidRPr="00C50063">
        <w:t>:</w:t>
      </w:r>
    </w:p>
    <w:p w14:paraId="5D1A8508" w14:textId="77777777" w:rsidR="003E33DD" w:rsidRPr="00C50063" w:rsidRDefault="003E33DD" w:rsidP="00F2520A">
      <w:pPr>
        <w:pStyle w:val="a8"/>
        <w:numPr>
          <w:ilvl w:val="0"/>
          <w:numId w:val="13"/>
        </w:numPr>
        <w:ind w:left="1701" w:firstLine="0"/>
      </w:pPr>
      <w:r w:rsidRPr="00C50063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C50063" w:rsidRDefault="003E33DD" w:rsidP="00F2520A">
      <w:pPr>
        <w:pStyle w:val="a8"/>
        <w:numPr>
          <w:ilvl w:val="0"/>
          <w:numId w:val="13"/>
        </w:numPr>
        <w:ind w:left="1701" w:firstLine="0"/>
      </w:pPr>
      <w:r w:rsidRPr="00C50063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0385E8A" w14:textId="2F52CEBF" w:rsidR="0078763F" w:rsidRPr="00896335" w:rsidRDefault="006A36AB" w:rsidP="0078763F">
      <w:pPr>
        <w:pStyle w:val="a"/>
        <w:numPr>
          <w:ilvl w:val="3"/>
          <w:numId w:val="11"/>
        </w:numPr>
      </w:pPr>
      <w:r w:rsidRPr="00C50063">
        <w:t xml:space="preserve">для участников, </w:t>
      </w:r>
      <w:r w:rsidR="009422E5" w:rsidRPr="00896335">
        <w:t xml:space="preserve">в отношении которых на момент подачи заявки имеется опубликованная на Интернет сайте ФНС России </w:t>
      </w:r>
      <w:r w:rsidRPr="00C50063">
        <w:t>бухгалтерск</w:t>
      </w:r>
      <w:r w:rsidR="009422E5" w:rsidRPr="00896335">
        <w:t>ая</w:t>
      </w:r>
      <w:r w:rsidRPr="00C50063">
        <w:t xml:space="preserve"> (</w:t>
      </w:r>
      <w:r w:rsidR="009422E5" w:rsidRPr="00C50063">
        <w:t>финансов</w:t>
      </w:r>
      <w:r w:rsidR="009422E5" w:rsidRPr="00896335">
        <w:t>ая</w:t>
      </w:r>
      <w:r w:rsidRPr="00C50063">
        <w:t xml:space="preserve">) отчетность </w:t>
      </w:r>
      <w:r w:rsidR="0078763F" w:rsidRPr="00896335">
        <w:t xml:space="preserve">только </w:t>
      </w:r>
      <w:r w:rsidRPr="00C50063">
        <w:t xml:space="preserve">по одному </w:t>
      </w:r>
      <w:r w:rsidR="00C639B4" w:rsidRPr="00C50063">
        <w:t>отче</w:t>
      </w:r>
      <w:r w:rsidRPr="00C50063">
        <w:t xml:space="preserve">тному периоду (далее – </w:t>
      </w:r>
      <w:r w:rsidRPr="00896335">
        <w:rPr>
          <w:b/>
          <w:bCs/>
        </w:rPr>
        <w:t>тип 2 участников</w:t>
      </w:r>
      <w:r w:rsidRPr="00C50063">
        <w:t xml:space="preserve">), </w:t>
      </w:r>
      <w:r w:rsidR="00C629AC" w:rsidRPr="00C50063">
        <w:t xml:space="preserve">– </w:t>
      </w:r>
      <w:r w:rsidRPr="00C50063">
        <w:t xml:space="preserve">проверка осуществляется по </w:t>
      </w:r>
      <w:r w:rsidR="009422E5" w:rsidRPr="00896335">
        <w:t xml:space="preserve">опубликованной </w:t>
      </w:r>
      <w:r w:rsidRPr="00C50063">
        <w:t xml:space="preserve">бухгалтерской (финансовой) </w:t>
      </w:r>
      <w:r w:rsidR="00C639B4" w:rsidRPr="00C50063">
        <w:t xml:space="preserve">отчетности </w:t>
      </w:r>
      <w:r w:rsidR="0078763F" w:rsidRPr="00896335">
        <w:t xml:space="preserve">на последнюю отчетную дату, </w:t>
      </w:r>
      <w:r w:rsidRPr="00C50063">
        <w:t xml:space="preserve">по данным </w:t>
      </w:r>
      <w:r w:rsidR="0078763F" w:rsidRPr="00896335">
        <w:t>1 (</w:t>
      </w:r>
      <w:r w:rsidRPr="00C50063">
        <w:t>одного</w:t>
      </w:r>
      <w:r w:rsidR="0078763F" w:rsidRPr="00896335">
        <w:t>)</w:t>
      </w:r>
      <w:r w:rsidRPr="00C50063">
        <w:t xml:space="preserve"> отчетного периода, </w:t>
      </w:r>
      <w:r w:rsidR="0078763F" w:rsidRPr="00896335">
        <w:t>а именно</w:t>
      </w:r>
      <w:r w:rsidRPr="00C50063">
        <w:t>:</w:t>
      </w:r>
    </w:p>
    <w:p w14:paraId="3D5B8EE0" w14:textId="16D25107" w:rsidR="006A36AB" w:rsidRPr="00C50063" w:rsidRDefault="003E33DD" w:rsidP="00896335">
      <w:pPr>
        <w:pStyle w:val="a8"/>
        <w:numPr>
          <w:ilvl w:val="0"/>
          <w:numId w:val="13"/>
        </w:numPr>
        <w:ind w:left="1701" w:firstLine="0"/>
      </w:pPr>
      <w:r w:rsidRPr="00C50063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 w:rsidRPr="00C50063">
        <w:t>;</w:t>
      </w:r>
    </w:p>
    <w:p w14:paraId="16446461" w14:textId="5CD4FC7E" w:rsidR="002C1B18" w:rsidRPr="00C50063" w:rsidRDefault="002C1B18" w:rsidP="00896335">
      <w:pPr>
        <w:pStyle w:val="a"/>
        <w:numPr>
          <w:ilvl w:val="0"/>
          <w:numId w:val="0"/>
        </w:numPr>
        <w:ind w:left="1134"/>
      </w:pPr>
    </w:p>
    <w:p w14:paraId="58CB9535" w14:textId="4FC658CB" w:rsidR="00513524" w:rsidRDefault="00513524" w:rsidP="00513524">
      <w:pPr>
        <w:pStyle w:val="111"/>
        <w:keepNext/>
      </w:pPr>
      <w:bookmarkStart w:id="34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4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5FFD0382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_Ref73030190 \r \h </w:instrText>
      </w:r>
      <w:r w:rsidR="00502E4F">
        <w:fldChar w:fldCharType="separate"/>
      </w:r>
      <w:r w:rsidR="00502E4F">
        <w:t>2.7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045F3292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0575DAEF" w:rsidR="00513524" w:rsidRPr="00617934" w:rsidRDefault="00513524" w:rsidP="00513524">
      <w:pPr>
        <w:pStyle w:val="-"/>
      </w:pPr>
      <w:r w:rsidRPr="00617934">
        <w:lastRenderedPageBreak/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3B857F34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502E4F">
        <w:fldChar w:fldCharType="begin"/>
      </w:r>
      <w:r w:rsidR="00502E4F">
        <w:instrText xml:space="preserve"> REF _Ref73030237 \r \h </w:instrText>
      </w:r>
      <w:r w:rsidR="00502E4F">
        <w:fldChar w:fldCharType="separate"/>
      </w:r>
      <w:r w:rsidR="00502E4F">
        <w:t>2.10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6A2A5DC8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502E4F">
        <w:fldChar w:fldCharType="begin"/>
      </w:r>
      <w:r w:rsidR="00502E4F">
        <w:instrText xml:space="preserve"> REF _Ref73030247 \r \h </w:instrText>
      </w:r>
      <w:r w:rsidR="00502E4F">
        <w:fldChar w:fldCharType="separate"/>
      </w:r>
      <w:r w:rsidR="00502E4F">
        <w:t>2.11</w:t>
      </w:r>
      <w:r w:rsidR="00502E4F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43B35910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_Ref73030262 \r \h </w:instrText>
      </w:r>
      <w:r w:rsidR="00502E4F">
        <w:fldChar w:fldCharType="separate"/>
      </w:r>
      <w:r w:rsidR="00502E4F">
        <w:t>2.12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0866C520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502E4F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1A2E17F4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_Ref73030275 \r \h </w:instrText>
      </w:r>
      <w:r w:rsidR="00502E4F">
        <w:fldChar w:fldCharType="separate"/>
      </w:r>
      <w:r w:rsidR="00502E4F">
        <w:t>2.14</w:t>
      </w:r>
      <w:r w:rsidR="00502E4F">
        <w:fldChar w:fldCharType="end"/>
      </w:r>
      <w:r w:rsidR="00403589">
        <w:t xml:space="preserve"> настоящей методики</w:t>
      </w:r>
      <w:r w:rsidRPr="00617934">
        <w:t>;</w:t>
      </w:r>
    </w:p>
    <w:p w14:paraId="18FBBCC5" w14:textId="77777777" w:rsidR="000C4E70" w:rsidRPr="00617934" w:rsidRDefault="000C4E70" w:rsidP="009E0782">
      <w:pPr>
        <w:pStyle w:val="a"/>
        <w:keepNext/>
      </w:pPr>
      <w:bookmarkStart w:id="35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5"/>
    </w:p>
    <w:p w14:paraId="0C8589FE" w14:textId="309548D0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A0B8021" w14:textId="1E43D07C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263F6E4C" w14:textId="77777777" w:rsidR="00B33746" w:rsidRDefault="00B33746" w:rsidP="00B33746">
      <w:pPr>
        <w:pStyle w:val="111"/>
      </w:pPr>
      <w:bookmarkStart w:id="36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7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5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6"/>
      <w:bookmarkEnd w:id="37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D94D9D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</w:tbl>
    <w:p w14:paraId="1A6FD77B" w14:textId="36A2F6A0" w:rsidR="00513524" w:rsidRDefault="00A1147D" w:rsidP="009E0782">
      <w:pPr>
        <w:pStyle w:val="111"/>
        <w:keepNext/>
      </w:pPr>
      <w:bookmarkStart w:id="38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6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502E4F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8"/>
    </w:p>
    <w:p w14:paraId="4E3CE9A1" w14:textId="77777777" w:rsidR="00865A6F" w:rsidRDefault="00865A6F" w:rsidP="00AA3D6C">
      <w:pPr>
        <w:jc w:val="right"/>
      </w:pPr>
    </w:p>
    <w:p w14:paraId="2F8AE190" w14:textId="77777777" w:rsidR="00865A6F" w:rsidRDefault="00865A6F" w:rsidP="00AA3D6C">
      <w:pPr>
        <w:jc w:val="right"/>
      </w:pPr>
    </w:p>
    <w:p w14:paraId="4B9AC529" w14:textId="77777777" w:rsidR="00865A6F" w:rsidRDefault="00865A6F" w:rsidP="00AA3D6C">
      <w:pPr>
        <w:jc w:val="right"/>
      </w:pPr>
    </w:p>
    <w:p w14:paraId="60AFCED3" w14:textId="77777777" w:rsidR="00865A6F" w:rsidRDefault="00865A6F" w:rsidP="00AA3D6C">
      <w:pPr>
        <w:jc w:val="right"/>
      </w:pPr>
    </w:p>
    <w:p w14:paraId="7ED39FCD" w14:textId="77777777" w:rsidR="00865A6F" w:rsidRDefault="00865A6F" w:rsidP="00AA3D6C">
      <w:pPr>
        <w:jc w:val="right"/>
      </w:pPr>
    </w:p>
    <w:p w14:paraId="4FAA5549" w14:textId="539E669E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00C8BFAC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21B6E700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7D4E9650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06DE6B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384A3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84795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22EB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92A0B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2CB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509F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1188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1BEA2F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7DF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05CFB5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A244A9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2A24E89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4AE966E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1CD4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815E6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B46F6D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C7788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0C797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13C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65CCD9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47546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7D984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547EA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2EBFF0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C472D" w14:textId="77777777" w:rsid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  <w:p w14:paraId="3A989CF7" w14:textId="77777777" w:rsidR="009747FF" w:rsidRDefault="009747FF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  <w:p w14:paraId="5EA00CCC" w14:textId="48247B3D" w:rsidR="009747FF" w:rsidRPr="00244B06" w:rsidRDefault="009747FF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55E2957D" w14:textId="4B0217F8" w:rsidR="00513524" w:rsidRPr="000E3801" w:rsidRDefault="00B96FD6" w:rsidP="007F1D9D">
      <w:pPr>
        <w:pStyle w:val="111"/>
      </w:pPr>
      <w:bookmarkStart w:id="39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7F1D9D" w:rsidRPr="000E3801">
        <w:t>При</w:t>
      </w:r>
      <w:r w:rsidR="007E4F40" w:rsidRPr="000E3801">
        <w:t xml:space="preserve">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</w:t>
      </w:r>
      <w:r w:rsidR="00A04FF5">
        <w:t>Участник</w:t>
      </w:r>
      <w:r w:rsidR="000B30C4" w:rsidRPr="000E3801">
        <w:t>ов </w:t>
      </w:r>
      <w:r w:rsidR="007F1D9D">
        <w:t xml:space="preserve">типа </w:t>
      </w:r>
      <w:r w:rsidR="00A75191" w:rsidRPr="000E3801">
        <w:t>2</w:t>
      </w:r>
      <w:r w:rsidR="000B30C4" w:rsidRPr="000E3801">
        <w:t xml:space="preserve"> </w:t>
      </w:r>
      <w:r w:rsidR="00A75191" w:rsidRPr="000E3801">
        <w:t>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502E4F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9"/>
    </w:p>
    <w:p w14:paraId="4E79672B" w14:textId="77777777" w:rsidR="00012F54" w:rsidRDefault="00012F54" w:rsidP="00AA3D6C">
      <w:pPr>
        <w:jc w:val="right"/>
      </w:pPr>
    </w:p>
    <w:p w14:paraId="708DC8E7" w14:textId="58945B24" w:rsidR="00023C77" w:rsidRDefault="00023C77" w:rsidP="00AA3D6C">
      <w:pPr>
        <w:jc w:val="right"/>
        <w:rPr>
          <w:noProof/>
        </w:rPr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4054B61E" w14:textId="77777777" w:rsidR="009747FF" w:rsidRDefault="009747FF" w:rsidP="00AA3D6C">
      <w:pPr>
        <w:jc w:val="right"/>
      </w:pP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5665"/>
        <w:gridCol w:w="3396"/>
      </w:tblGrid>
      <w:tr w:rsidR="00023C77" w14:paraId="2B50AD36" w14:textId="77777777" w:rsidTr="00896335">
        <w:trPr>
          <w:cantSplit/>
        </w:trPr>
        <w:tc>
          <w:tcPr>
            <w:tcW w:w="5665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0" w:name="_Hlk50997483"/>
            <w:r>
              <w:rPr>
                <w:b/>
                <w:sz w:val="18"/>
                <w:szCs w:val="18"/>
                <w:lang w:eastAsia="ru-RU"/>
              </w:rPr>
              <w:lastRenderedPageBreak/>
              <w:t>Значение итоговой оценки</w:t>
            </w:r>
          </w:p>
        </w:tc>
        <w:tc>
          <w:tcPr>
            <w:tcW w:w="3396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896335">
        <w:trPr>
          <w:cantSplit/>
        </w:trPr>
        <w:tc>
          <w:tcPr>
            <w:tcW w:w="5665" w:type="dxa"/>
            <w:shd w:val="clear" w:color="auto" w:fill="FF9966"/>
            <w:vAlign w:val="center"/>
          </w:tcPr>
          <w:p w14:paraId="5111BDB8" w14:textId="4CA55C6E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bookmarkStart w:id="41" w:name="_Ref52882056"/>
            <w:r w:rsidR="007B01F6">
              <w:rPr>
                <w:rStyle w:val="af2"/>
                <w:sz w:val="18"/>
                <w:szCs w:val="18"/>
              </w:rPr>
              <w:footnoteReference w:id="7"/>
            </w:r>
            <w:bookmarkEnd w:id="41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896335">
        <w:trPr>
          <w:cantSplit/>
        </w:trPr>
        <w:tc>
          <w:tcPr>
            <w:tcW w:w="5665" w:type="dxa"/>
            <w:shd w:val="clear" w:color="auto" w:fill="FFFF66"/>
            <w:vAlign w:val="center"/>
          </w:tcPr>
          <w:p w14:paraId="7B735569" w14:textId="5F5F808F" w:rsidR="00F711ED" w:rsidRPr="009747FF" w:rsidRDefault="005456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2" w:name="_Hlk50997759"/>
            <w:r>
              <w:rPr>
                <w:sz w:val="18"/>
                <w:szCs w:val="18"/>
              </w:rPr>
              <w:t>От 0,45 баллов включительно</w:t>
            </w:r>
            <w:r w:rsidR="007B01F6" w:rsidRPr="007B01F6">
              <w:rPr>
                <w:rStyle w:val="af2"/>
              </w:rPr>
              <w:fldChar w:fldCharType="begin"/>
            </w:r>
            <w:r w:rsidR="007B01F6" w:rsidRPr="007B01F6">
              <w:rPr>
                <w:rStyle w:val="af2"/>
              </w:rPr>
              <w:instrText xml:space="preserve"> NOTEREF _Ref52882056 \f \h </w:instrText>
            </w:r>
            <w:r w:rsidR="007B01F6">
              <w:rPr>
                <w:rStyle w:val="af2"/>
              </w:rPr>
              <w:instrText xml:space="preserve"> \* MERGEFORMAT </w:instrText>
            </w:r>
            <w:r w:rsidR="007B01F6" w:rsidRPr="007B01F6">
              <w:rPr>
                <w:rStyle w:val="af2"/>
              </w:rPr>
            </w:r>
            <w:r w:rsidR="007B01F6" w:rsidRPr="007B01F6">
              <w:rPr>
                <w:rStyle w:val="af2"/>
              </w:rPr>
              <w:fldChar w:fldCharType="separate"/>
            </w:r>
            <w:r w:rsidR="007B01F6" w:rsidRPr="007B01F6">
              <w:rPr>
                <w:rStyle w:val="af2"/>
                <w:sz w:val="18"/>
                <w:szCs w:val="18"/>
              </w:rPr>
              <w:t>5</w:t>
            </w:r>
            <w:r w:rsidR="007B01F6" w:rsidRPr="007B01F6">
              <w:rPr>
                <w:rStyle w:val="af2"/>
              </w:rPr>
              <w:fldChar w:fldCharType="end"/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2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896335">
        <w:trPr>
          <w:cantSplit/>
        </w:trPr>
        <w:tc>
          <w:tcPr>
            <w:tcW w:w="5665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3" w:name="_Ref456627771"/>
      <w:bookmarkEnd w:id="40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4" w:name="_Ref471818978"/>
      <w:bookmarkStart w:id="45" w:name="_Toc25849119"/>
    </w:p>
    <w:p w14:paraId="2791B412" w14:textId="0F9FE9C6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</w:p>
    <w:p w14:paraId="1BB5EC69" w14:textId="77777777" w:rsidR="000A7205" w:rsidRDefault="00513524" w:rsidP="00513524">
      <w:pPr>
        <w:pStyle w:val="11"/>
      </w:pPr>
      <w:bookmarkStart w:id="46" w:name="_Ref73030190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3"/>
      <w:bookmarkEnd w:id="44"/>
      <w:bookmarkEnd w:id="45"/>
      <w:bookmarkEnd w:id="46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7" w:name="_Ref5112577"/>
      <w:r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7"/>
    </w:p>
    <w:p w14:paraId="2A38B53C" w14:textId="77777777" w:rsidR="00012F54" w:rsidRDefault="00012F54" w:rsidP="00AA3D6C">
      <w:pPr>
        <w:jc w:val="right"/>
      </w:pPr>
    </w:p>
    <w:p w14:paraId="3C1D59CE" w14:textId="77777777" w:rsidR="00012F54" w:rsidRDefault="00012F54" w:rsidP="00AA3D6C">
      <w:pPr>
        <w:jc w:val="right"/>
      </w:pPr>
    </w:p>
    <w:p w14:paraId="3C0CF80A" w14:textId="77777777" w:rsidR="00012F54" w:rsidRDefault="00012F54" w:rsidP="00AA3D6C">
      <w:pPr>
        <w:jc w:val="right"/>
      </w:pPr>
    </w:p>
    <w:p w14:paraId="01AD1AC1" w14:textId="4D0B0D60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D94D9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9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0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8" w:name="_Ref456627779"/>
      <w:bookmarkStart w:id="49" w:name="_Toc25849120"/>
      <w:r>
        <w:lastRenderedPageBreak/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8"/>
      <w:bookmarkEnd w:id="49"/>
    </w:p>
    <w:p w14:paraId="77BE7FBB" w14:textId="77777777" w:rsidR="00511AAB" w:rsidRDefault="000A7205" w:rsidP="00513524">
      <w:pPr>
        <w:pStyle w:val="111"/>
      </w:pPr>
      <w:bookmarkStart w:id="50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50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D94D9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2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3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51" w:name="_Ref456627785"/>
      <w:bookmarkStart w:id="52" w:name="_Toc25849121"/>
      <w:r>
        <w:t>Порядок расчета д</w:t>
      </w:r>
      <w:r w:rsidR="000A7205">
        <w:t>олг</w:t>
      </w:r>
      <w:r>
        <w:t>а / EBITDA</w:t>
      </w:r>
      <w:bookmarkEnd w:id="51"/>
      <w:bookmarkEnd w:id="52"/>
    </w:p>
    <w:p w14:paraId="454049F8" w14:textId="77777777" w:rsidR="00A95856" w:rsidRDefault="000A7205" w:rsidP="00513524">
      <w:pPr>
        <w:pStyle w:val="111"/>
      </w:pPr>
      <w:bookmarkStart w:id="53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3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D94D9D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6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9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20"/>
        </m:r>
      </m:oMath>
    </w:p>
    <w:p w14:paraId="73058440" w14:textId="77777777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4" w:name="_Ref456627798"/>
    </w:p>
    <w:p w14:paraId="35AF8DB3" w14:textId="77777777" w:rsidR="001B4B32" w:rsidRPr="000E3801" w:rsidRDefault="001B4B32" w:rsidP="001B4B32">
      <w:pPr>
        <w:pStyle w:val="11"/>
      </w:pPr>
      <w:bookmarkStart w:id="55" w:name="_Toc25849122"/>
      <w:bookmarkStart w:id="56" w:name="_Ref73030237"/>
      <w:r w:rsidRPr="000E3801">
        <w:t>Порядок расчета периода оборота дебиторской задолженности</w:t>
      </w:r>
      <w:bookmarkEnd w:id="54"/>
      <w:bookmarkEnd w:id="55"/>
      <w:bookmarkEnd w:id="56"/>
    </w:p>
    <w:p w14:paraId="2ADBEF02" w14:textId="77777777" w:rsidR="001B4B32" w:rsidRDefault="001B4B32" w:rsidP="001B4B32">
      <w:pPr>
        <w:pStyle w:val="111"/>
      </w:pPr>
      <w:bookmarkStart w:id="57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7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1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8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9" w:name="_Toc25849123"/>
      <w:bookmarkStart w:id="60" w:name="_Ref73030247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8"/>
      <w:bookmarkEnd w:id="59"/>
      <w:bookmarkEnd w:id="60"/>
    </w:p>
    <w:p w14:paraId="024A6DC6" w14:textId="77777777" w:rsidR="000A7205" w:rsidRDefault="000A7205" w:rsidP="000C4E70">
      <w:pPr>
        <w:pStyle w:val="111"/>
      </w:pPr>
      <w:bookmarkStart w:id="61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61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3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4"/>
            </m:r>
          </m:den>
        </m:f>
      </m:oMath>
    </w:p>
    <w:p w14:paraId="77C2EB13" w14:textId="3E27259A" w:rsidR="00DD70C8" w:rsidRDefault="00F75F1D" w:rsidP="00CE72E9">
      <w:pPr>
        <w:pStyle w:val="111"/>
      </w:pPr>
      <w:bookmarkStart w:id="62" w:name="_Ref456627813"/>
      <w:r>
        <w:lastRenderedPageBreak/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 w:rsidR="00502E4F"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63" w:name="_Toc25849124"/>
      <w:bookmarkStart w:id="64" w:name="_Ref73030262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62"/>
      <w:bookmarkEnd w:id="63"/>
      <w:bookmarkEnd w:id="64"/>
    </w:p>
    <w:p w14:paraId="0D58E3BB" w14:textId="77777777" w:rsidR="000A7205" w:rsidRDefault="000C4E70" w:rsidP="000C4E70">
      <w:pPr>
        <w:pStyle w:val="111"/>
      </w:pPr>
      <w:bookmarkStart w:id="65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5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0A808E44" w:rsidR="007C4AC9" w:rsidRPr="00723E9B" w:rsidRDefault="00D94D9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 xml:space="preserve">Денежные_средства_и_эквиваленты 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6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5216FC50" w14:textId="5DE8DD99" w:rsidR="00DD70C8" w:rsidRPr="00F75F1D" w:rsidRDefault="00F75F1D" w:rsidP="00F75F1D">
      <w:pPr>
        <w:pStyle w:val="111"/>
        <w:rPr>
          <w:szCs w:val="26"/>
        </w:rPr>
      </w:pPr>
      <w:bookmarkStart w:id="66" w:name="_Ref456627819"/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 w:rsidR="00502E4F"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7" w:name="_Ref466276214"/>
      <w:bookmarkStart w:id="68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66"/>
      <w:bookmarkEnd w:id="67"/>
      <w:bookmarkEnd w:id="68"/>
    </w:p>
    <w:p w14:paraId="11537DA3" w14:textId="77777777" w:rsidR="00511AAB" w:rsidRDefault="000C4E70" w:rsidP="000C4E70">
      <w:pPr>
        <w:pStyle w:val="111"/>
      </w:pPr>
      <w:bookmarkStart w:id="69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9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D94D9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7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70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71" w:name="_Toc25849126"/>
      <w:bookmarkStart w:id="72" w:name="_Ref73030275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70"/>
      <w:bookmarkEnd w:id="71"/>
      <w:bookmarkEnd w:id="72"/>
    </w:p>
    <w:p w14:paraId="07F508DE" w14:textId="77777777" w:rsidR="000A7205" w:rsidRDefault="000A7205" w:rsidP="008E7774">
      <w:pPr>
        <w:pStyle w:val="111"/>
      </w:pPr>
      <w:bookmarkStart w:id="73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73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D94D9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30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6283CB4" w14:textId="77777777" w:rsidR="000C4E70" w:rsidRDefault="009E0782" w:rsidP="000C4E70">
      <w:pPr>
        <w:pStyle w:val="11"/>
      </w:pPr>
      <w:bookmarkStart w:id="74" w:name="_Ref456627836"/>
      <w:bookmarkStart w:id="75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74"/>
      <w:bookmarkEnd w:id="75"/>
    </w:p>
    <w:p w14:paraId="30ADB76F" w14:textId="77777777" w:rsidR="009E0782" w:rsidRDefault="00223C36" w:rsidP="009E0782">
      <w:pPr>
        <w:pStyle w:val="111"/>
      </w:pPr>
      <w:bookmarkStart w:id="76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76"/>
    </w:p>
    <w:p w14:paraId="1362E256" w14:textId="77777777" w:rsidR="009E0782" w:rsidRDefault="009E078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5391BBE2" w14:textId="77777777" w:rsidR="009E0782" w:rsidRPr="008E7774" w:rsidRDefault="00D94D9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22F3C70E" w14:textId="7C75A78B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D281D67" w14:textId="77777777" w:rsidR="009E0782" w:rsidRPr="00F649A3" w:rsidRDefault="009E0782" w:rsidP="009E0782">
      <w:pPr>
        <w:pStyle w:val="11"/>
      </w:pPr>
      <w:bookmarkStart w:id="77" w:name="_Ref456627844"/>
      <w:bookmarkStart w:id="78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77"/>
      <w:bookmarkEnd w:id="78"/>
    </w:p>
    <w:p w14:paraId="06FCF6E7" w14:textId="77777777" w:rsidR="009E0782" w:rsidRPr="00F649A3" w:rsidRDefault="00223C36" w:rsidP="009E0782">
      <w:pPr>
        <w:pStyle w:val="111"/>
      </w:pPr>
      <w:bookmarkStart w:id="79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9"/>
    </w:p>
    <w:p w14:paraId="3198A06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474EA13A" w14:textId="77777777" w:rsidR="009E0782" w:rsidRPr="008E7774" w:rsidRDefault="00D94D9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3"/>
            </m:r>
          </m:den>
        </m:f>
      </m:oMath>
    </w:p>
    <w:p w14:paraId="4FCFE805" w14:textId="2CDA3440" w:rsidR="00DD70C8" w:rsidRPr="008E7774" w:rsidRDefault="00975986" w:rsidP="00F00853">
      <w:pPr>
        <w:pStyle w:val="111"/>
      </w:pPr>
      <w:r>
        <w:lastRenderedPageBreak/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80" w:name="_Toc469414192"/>
      <w:bookmarkStart w:id="81" w:name="_Toc469414193"/>
      <w:bookmarkStart w:id="82" w:name="_Toc469414194"/>
      <w:bookmarkStart w:id="83" w:name="_Toc469414195"/>
      <w:bookmarkStart w:id="84" w:name="_Toc469414196"/>
      <w:bookmarkStart w:id="85" w:name="_Toc469414197"/>
      <w:bookmarkStart w:id="86" w:name="_Toc25849129"/>
      <w:bookmarkEnd w:id="80"/>
      <w:bookmarkEnd w:id="81"/>
      <w:bookmarkEnd w:id="82"/>
      <w:bookmarkEnd w:id="83"/>
      <w:bookmarkEnd w:id="84"/>
      <w:bookmarkEnd w:id="85"/>
      <w:r>
        <w:t xml:space="preserve">Проверка </w:t>
      </w:r>
      <w:r w:rsidR="00A04FF5">
        <w:t>К</w:t>
      </w:r>
      <w:r>
        <w:t>оллективного участника закупки</w:t>
      </w:r>
      <w:bookmarkEnd w:id="86"/>
    </w:p>
    <w:p w14:paraId="34463C39" w14:textId="77777777" w:rsidR="00F131C0" w:rsidRDefault="00F131C0" w:rsidP="00F131C0">
      <w:pPr>
        <w:pStyle w:val="11"/>
      </w:pPr>
      <w:bookmarkStart w:id="87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87"/>
    </w:p>
    <w:p w14:paraId="05811A5F" w14:textId="49F05711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49D8F46A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502E4F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77777777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22C7D251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6DC3FC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A875A4F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5A05833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13646BA8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E82B851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47E5BC50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3762E71" w14:textId="77777777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790F3267" w14:textId="61A5BFF6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88" w:name="_Ref1398769"/>
      <w:bookmarkStart w:id="89" w:name="_Toc25849131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88"/>
      <w:r w:rsidR="00AF5D23">
        <w:rPr>
          <w:rStyle w:val="af2"/>
        </w:rPr>
        <w:footnoteReference w:id="34"/>
      </w:r>
      <w:bookmarkEnd w:id="89"/>
    </w:p>
    <w:p w14:paraId="40F62D0F" w14:textId="77777777" w:rsidR="001209DF" w:rsidRDefault="001209DF" w:rsidP="00833EFC">
      <w:pPr>
        <w:pStyle w:val="11"/>
      </w:pPr>
      <w:bookmarkStart w:id="90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90"/>
    </w:p>
    <w:p w14:paraId="3F2B7237" w14:textId="7AD37FF4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502E4F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0CD3D398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502E4F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4B418116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2B01F6D8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05679736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7220A4D1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95FDA96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D51A5A7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04CC67E" w14:textId="77777777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30613805" w14:textId="39DCEC2A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91" w:name="_Toc25849133"/>
      <w:r>
        <w:t>Особенности проверки привлекаемых субподрядчиков</w:t>
      </w:r>
      <w:bookmarkEnd w:id="91"/>
    </w:p>
    <w:p w14:paraId="6F335635" w14:textId="5C95BE51" w:rsidR="005456D3" w:rsidRDefault="005456D3" w:rsidP="00065504">
      <w:pPr>
        <w:pStyle w:val="111"/>
      </w:pPr>
      <w:r>
        <w:t>Проверка субподрядчиков осуществляется только в случае, если это предусмотрено Документацией о закупке (разделе 1.2 «Информация о проводимой закупке»).</w:t>
      </w:r>
    </w:p>
    <w:p w14:paraId="7A40BC54" w14:textId="433DC569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>
        <w:t xml:space="preserve"> настоящей методики.</w:t>
      </w:r>
    </w:p>
    <w:p w14:paraId="2085CAE5" w14:textId="7BB45534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502E4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lastRenderedPageBreak/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7B28BDFB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50D329A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65B37DB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7A9457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99A7E5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ACAD14F" w14:textId="77777777" w:rsidR="00F52B71" w:rsidRDefault="001209DF" w:rsidP="00502E4F">
      <w:pPr>
        <w:pStyle w:val="111"/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23BE721F" w14:textId="71259192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="00502E4F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14:paraId="3DBBC3E0" w14:textId="494E8B2B" w:rsidR="002E4FDF" w:rsidRDefault="00596A24" w:rsidP="00596A24">
      <w:pPr>
        <w:pStyle w:val="af0"/>
        <w:tabs>
          <w:tab w:val="left" w:pos="709"/>
        </w:tabs>
        <w:spacing w:before="120"/>
        <w:ind w:left="709" w:hanging="709"/>
        <w:jc w:val="left"/>
        <w:rPr>
          <w:rFonts w:ascii="Times New Roman" w:hAnsi="Times New Roman"/>
          <w:noProof/>
          <w:sz w:val="22"/>
          <w:szCs w:val="22"/>
        </w:rPr>
      </w:pPr>
      <w:bookmarkStart w:id="92" w:name="_Hlk73374819"/>
      <w:r w:rsidRPr="00596A24">
        <w:rPr>
          <w:rFonts w:ascii="Times New Roman" w:hAnsi="Times New Roman"/>
          <w:i/>
          <w:iCs/>
          <w:noProof/>
          <w:sz w:val="22"/>
          <w:szCs w:val="22"/>
        </w:rPr>
        <w:t>Вспомогательный инструмент расчета</w:t>
      </w:r>
      <w:r>
        <w:rPr>
          <w:rFonts w:ascii="Times New Roman" w:hAnsi="Times New Roman"/>
          <w:noProof/>
          <w:sz w:val="22"/>
          <w:szCs w:val="22"/>
        </w:rPr>
        <w:t xml:space="preserve">: </w:t>
      </w:r>
      <w:r w:rsidR="00F70D2C">
        <w:rPr>
          <w:rStyle w:val="af2"/>
          <w:rFonts w:ascii="Times New Roman" w:hAnsi="Times New Roman"/>
          <w:noProof/>
          <w:sz w:val="22"/>
          <w:szCs w:val="22"/>
          <w:vertAlign w:val="baseline"/>
        </w:rPr>
        <w:object w:dxaOrig="1540" w:dyaOrig="996" w14:anchorId="1A3FA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14" o:title=""/>
          </v:shape>
          <o:OLEObject Type="Embed" ProgID="Excel.Sheet.12" ShapeID="_x0000_i1025" DrawAspect="Icon" ObjectID="_1703666041" r:id="rId15"/>
        </w:object>
      </w:r>
    </w:p>
    <w:p w14:paraId="2BEB967B" w14:textId="653DD7A5" w:rsidR="00596A24" w:rsidRPr="0034634F" w:rsidRDefault="00596A24" w:rsidP="00596A24">
      <w:pPr>
        <w:pStyle w:val="af0"/>
        <w:tabs>
          <w:tab w:val="left" w:pos="0"/>
        </w:tabs>
        <w:spacing w:before="120"/>
        <w:jc w:val="left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Fonts w:ascii="Times New Roman" w:hAnsi="Times New Roman"/>
          <w:i/>
          <w:iCs/>
          <w:noProof/>
          <w:sz w:val="22"/>
          <w:szCs w:val="22"/>
        </w:rPr>
        <w:br/>
      </w:r>
      <w:r w:rsidRPr="00C11761">
        <w:rPr>
          <w:rFonts w:ascii="Times New Roman" w:hAnsi="Times New Roman"/>
          <w:i/>
          <w:iCs/>
          <w:noProof/>
          <w:sz w:val="22"/>
          <w:szCs w:val="22"/>
        </w:rPr>
        <w:t>Вспомогательный инструмент расчета</w:t>
      </w:r>
      <w:r>
        <w:rPr>
          <w:rFonts w:ascii="Times New Roman" w:hAnsi="Times New Roman"/>
          <w:i/>
          <w:iCs/>
          <w:noProof/>
          <w:sz w:val="22"/>
          <w:szCs w:val="22"/>
        </w:rPr>
        <w:t xml:space="preserve"> </w:t>
      </w:r>
      <w:r w:rsidR="00F70D2C">
        <w:rPr>
          <w:rFonts w:ascii="Times New Roman" w:hAnsi="Times New Roman"/>
          <w:noProof/>
          <w:sz w:val="22"/>
          <w:szCs w:val="22"/>
        </w:rPr>
        <w:object w:dxaOrig="1540" w:dyaOrig="996" w14:anchorId="67402C9E">
          <v:shape id="_x0000_i1026" type="#_x0000_t75" style="width:77.5pt;height:49.5pt" o:ole="">
            <v:imagedata r:id="rId16" o:title=""/>
          </v:shape>
          <o:OLEObject Type="Embed" ProgID="Excel.Sheet.12" ShapeID="_x0000_i1026" DrawAspect="Icon" ObjectID="_1703666042" r:id="rId17"/>
        </w:object>
      </w:r>
      <w:r>
        <w:rPr>
          <w:rFonts w:ascii="Times New Roman" w:hAnsi="Times New Roman"/>
          <w:i/>
          <w:iCs/>
          <w:noProof/>
          <w:sz w:val="22"/>
          <w:szCs w:val="22"/>
        </w:rPr>
        <w:br/>
        <w:t>(упрощенная форма бухгалтерского баланса)</w:t>
      </w:r>
      <w:r>
        <w:rPr>
          <w:rFonts w:ascii="Times New Roman" w:hAnsi="Times New Roman"/>
          <w:noProof/>
          <w:sz w:val="22"/>
          <w:szCs w:val="22"/>
        </w:rPr>
        <w:t xml:space="preserve">: </w:t>
      </w:r>
      <w:bookmarkEnd w:id="92"/>
    </w:p>
    <w:sectPr w:rsidR="00596A24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F526" w14:textId="77777777" w:rsidR="00D94D9D" w:rsidRDefault="00D94D9D" w:rsidP="00FA2307">
      <w:pPr>
        <w:spacing w:before="0" w:line="240" w:lineRule="auto"/>
      </w:pPr>
      <w:r>
        <w:separator/>
      </w:r>
    </w:p>
  </w:endnote>
  <w:endnote w:type="continuationSeparator" w:id="0">
    <w:p w14:paraId="0DD17951" w14:textId="77777777" w:rsidR="00D94D9D" w:rsidRDefault="00D94D9D" w:rsidP="00FA2307">
      <w:pPr>
        <w:spacing w:before="0" w:line="240" w:lineRule="auto"/>
      </w:pPr>
      <w:r>
        <w:continuationSeparator/>
      </w:r>
    </w:p>
  </w:endnote>
  <w:endnote w:type="continuationNotice" w:id="1">
    <w:p w14:paraId="6CD40B69" w14:textId="77777777" w:rsidR="00D94D9D" w:rsidRDefault="00D94D9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60BC" w14:textId="77777777" w:rsidR="007913EA" w:rsidRDefault="007913E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7EA8A5CA" w:rsidR="009D538C" w:rsidRPr="00285F7D" w:rsidRDefault="009D538C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F24FB1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9D538C" w:rsidRPr="00285F7D" w:rsidRDefault="009D538C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A046F" w14:textId="77777777" w:rsidR="00D94D9D" w:rsidRDefault="00D94D9D" w:rsidP="00FA2307">
      <w:pPr>
        <w:spacing w:before="0" w:line="240" w:lineRule="auto"/>
      </w:pPr>
      <w:r>
        <w:separator/>
      </w:r>
    </w:p>
  </w:footnote>
  <w:footnote w:type="continuationSeparator" w:id="0">
    <w:p w14:paraId="5961439E" w14:textId="77777777" w:rsidR="00D94D9D" w:rsidRDefault="00D94D9D" w:rsidP="00FA2307">
      <w:pPr>
        <w:spacing w:before="0" w:line="240" w:lineRule="auto"/>
      </w:pPr>
      <w:r>
        <w:continuationSeparator/>
      </w:r>
    </w:p>
  </w:footnote>
  <w:footnote w:type="continuationNotice" w:id="1">
    <w:p w14:paraId="5DAF4B05" w14:textId="77777777" w:rsidR="00D94D9D" w:rsidRDefault="00D94D9D">
      <w:pPr>
        <w:spacing w:before="0" w:line="240" w:lineRule="auto"/>
      </w:pPr>
    </w:p>
  </w:footnote>
  <w:footnote w:id="2">
    <w:p w14:paraId="114E2295" w14:textId="600FA15A" w:rsidR="001D10F0" w:rsidRDefault="001D10F0" w:rsidP="0065164F">
      <w:pPr>
        <w:pStyle w:val="af0"/>
      </w:pPr>
      <w:r>
        <w:rPr>
          <w:rStyle w:val="af2"/>
        </w:rPr>
        <w:footnoteRef/>
      </w:r>
      <w:r>
        <w:t xml:space="preserve"> </w:t>
      </w:r>
      <w:r>
        <w:tab/>
      </w:r>
      <w:r w:rsidRPr="00646E3B">
        <w:rPr>
          <w:rStyle w:val="af2"/>
          <w:rFonts w:ascii="Times New Roman" w:hAnsi="Times New Roman"/>
          <w:sz w:val="22"/>
          <w:szCs w:val="22"/>
          <w:vertAlign w:val="baseline"/>
        </w:rPr>
        <w:t>Про</w:t>
      </w:r>
      <w:r>
        <w:rPr>
          <w:rFonts w:ascii="Times New Roman" w:hAnsi="Times New Roman"/>
          <w:sz w:val="22"/>
          <w:szCs w:val="22"/>
        </w:rPr>
        <w:t xml:space="preserve">верка Участников, являющихся </w:t>
      </w:r>
      <w:r w:rsidR="001F4303">
        <w:rPr>
          <w:rFonts w:ascii="Times New Roman" w:hAnsi="Times New Roman"/>
          <w:sz w:val="22"/>
          <w:szCs w:val="22"/>
        </w:rPr>
        <w:t xml:space="preserve">физическими </w:t>
      </w:r>
      <w:r>
        <w:rPr>
          <w:rFonts w:ascii="Times New Roman" w:hAnsi="Times New Roman"/>
          <w:sz w:val="22"/>
          <w:szCs w:val="22"/>
        </w:rPr>
        <w:t xml:space="preserve">лицами, </w:t>
      </w:r>
      <w:r w:rsidR="0061637F">
        <w:rPr>
          <w:rFonts w:ascii="Times New Roman" w:hAnsi="Times New Roman"/>
          <w:sz w:val="22"/>
          <w:szCs w:val="22"/>
        </w:rPr>
        <w:t xml:space="preserve">осуществляется в соответствии с </w:t>
      </w:r>
      <w:r>
        <w:rPr>
          <w:rFonts w:ascii="Times New Roman" w:hAnsi="Times New Roman"/>
          <w:sz w:val="22"/>
          <w:szCs w:val="22"/>
        </w:rPr>
        <w:t xml:space="preserve">настоящей методикой </w:t>
      </w:r>
      <w:r w:rsidR="0061637F">
        <w:rPr>
          <w:rFonts w:ascii="Times New Roman" w:hAnsi="Times New Roman"/>
          <w:sz w:val="22"/>
          <w:szCs w:val="22"/>
        </w:rPr>
        <w:t>там</w:t>
      </w:r>
      <w:r w:rsidR="005A48E9">
        <w:rPr>
          <w:rFonts w:ascii="Times New Roman" w:hAnsi="Times New Roman"/>
          <w:sz w:val="22"/>
          <w:szCs w:val="22"/>
        </w:rPr>
        <w:t>,</w:t>
      </w:r>
      <w:r w:rsidR="0061637F">
        <w:rPr>
          <w:rFonts w:ascii="Times New Roman" w:hAnsi="Times New Roman"/>
          <w:sz w:val="22"/>
          <w:szCs w:val="22"/>
        </w:rPr>
        <w:t xml:space="preserve"> где применимо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3">
    <w:p w14:paraId="158FE0C1" w14:textId="0A554225" w:rsidR="009D538C" w:rsidRDefault="009D538C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  <w:p w14:paraId="03D74B47" w14:textId="77777777" w:rsidR="009D538C" w:rsidRPr="00A2368C" w:rsidRDefault="009D538C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</w:p>
  </w:footnote>
  <w:footnote w:id="4">
    <w:p w14:paraId="2C21571B" w14:textId="1BFF7693" w:rsidR="008D75D2" w:rsidRDefault="008D75D2">
      <w:pPr>
        <w:pStyle w:val="af0"/>
      </w:pPr>
      <w:r>
        <w:rPr>
          <w:rStyle w:val="af2"/>
        </w:rPr>
        <w:footnoteRef/>
      </w:r>
      <w:r>
        <w:t xml:space="preserve"> </w:t>
      </w:r>
      <w:r>
        <w:tab/>
      </w:r>
      <w:r w:rsidRPr="00896335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Здесь и далее </w:t>
      </w:r>
      <w:r w:rsidRPr="00896335">
        <w:rPr>
          <w:rStyle w:val="af2"/>
          <w:rFonts w:ascii="Times New Roman" w:hAnsi="Times New Roman"/>
          <w:vertAlign w:val="baseline"/>
        </w:rPr>
        <w:t>под «отчетным периодом» понимается завершенный годовой отчетный период</w:t>
      </w:r>
      <w:r w:rsidRPr="00896335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5">
    <w:p w14:paraId="6EA5E4D7" w14:textId="77777777" w:rsidR="009D538C" w:rsidRPr="00F92389" w:rsidRDefault="009D538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6D491153" w14:textId="77777777" w:rsidR="009D538C" w:rsidRPr="005565CE" w:rsidRDefault="009D538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7">
    <w:p w14:paraId="132BF200" w14:textId="62C79AEF" w:rsidR="009D538C" w:rsidRPr="00EF4D89" w:rsidRDefault="009D538C" w:rsidP="0006409B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  <w:highlight w:val="yellow"/>
        </w:rPr>
      </w:pPr>
      <w:r w:rsidRPr="0006409B">
        <w:rPr>
          <w:rStyle w:val="af2"/>
          <w:highlight w:val="yellow"/>
        </w:rPr>
        <w:footnoteRef/>
      </w:r>
      <w:r w:rsidR="008E53B4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8E53B4">
        <w:rPr>
          <w:rFonts w:ascii="Times New Roman" w:hAnsi="Times New Roman"/>
          <w:sz w:val="22"/>
          <w:szCs w:val="22"/>
        </w:rPr>
        <w:t>Дробное значение усредненного</w:t>
      </w:r>
      <w:r w:rsidR="008E53B4" w:rsidRPr="00337FAC">
        <w:rPr>
          <w:rFonts w:ascii="Times New Roman" w:hAnsi="Times New Roman"/>
          <w:sz w:val="22"/>
          <w:szCs w:val="22"/>
        </w:rPr>
        <w:t xml:space="preserve"> </w:t>
      </w:r>
      <w:r w:rsidR="008E53B4"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8">
    <w:p w14:paraId="1CDDE262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9">
    <w:p w14:paraId="07428C37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10">
    <w:p w14:paraId="1F09DFD1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1">
    <w:p w14:paraId="58DC137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2">
    <w:p w14:paraId="0DE495F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3">
    <w:p w14:paraId="1559689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4">
    <w:p w14:paraId="220D3BA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5">
    <w:p w14:paraId="70B51E65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6">
    <w:p w14:paraId="6F5C0E83" w14:textId="77777777" w:rsidR="009D538C" w:rsidRPr="00840CB9" w:rsidRDefault="009D538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7">
    <w:p w14:paraId="39A5A150" w14:textId="77777777" w:rsidR="009D538C" w:rsidRPr="00840CB9" w:rsidRDefault="009D538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8">
    <w:p w14:paraId="222A5F4B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9">
    <w:p w14:paraId="4E9682EF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20">
    <w:p w14:paraId="7F29D79F" w14:textId="77777777" w:rsidR="009D538C" w:rsidRPr="00840CB9" w:rsidRDefault="009D538C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21">
    <w:p w14:paraId="0341F5F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2">
    <w:p w14:paraId="14849F6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3">
    <w:p w14:paraId="3EE2FFA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4">
    <w:p w14:paraId="25761849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5">
    <w:p w14:paraId="19D5E8E6" w14:textId="2D530CF5" w:rsidR="009D538C" w:rsidRDefault="009D538C" w:rsidP="00896335">
      <w:pPr>
        <w:pStyle w:val="af0"/>
        <w:spacing w:before="60"/>
      </w:pPr>
      <w:r>
        <w:rPr>
          <w:rStyle w:val="af2"/>
        </w:rPr>
        <w:footnoteRef/>
      </w:r>
      <w:r>
        <w:t xml:space="preserve"> </w:t>
      </w:r>
      <w: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502E4F">
        <w:rPr>
          <w:rStyle w:val="af2"/>
          <w:vertAlign w:val="baseline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E8E7CF7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7">
    <w:p w14:paraId="392B18E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5660D1C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9">
    <w:p w14:paraId="7711CCC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30">
    <w:p w14:paraId="00EAC85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1">
    <w:p w14:paraId="4A137802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2">
    <w:p w14:paraId="67EFC17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3">
    <w:p w14:paraId="73DEB8C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4">
    <w:p w14:paraId="426327AC" w14:textId="77777777" w:rsidR="009D538C" w:rsidRPr="00C67910" w:rsidRDefault="009D538C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3CE9" w14:textId="77777777" w:rsidR="007913EA" w:rsidRDefault="007913E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9D538C" w:rsidRDefault="009D538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323DBDB8" w14:textId="6A50DE6E" w:rsidR="007913EA" w:rsidRPr="00285F7D" w:rsidRDefault="009D538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 xml:space="preserve">закупочных процедур, проводимых </w:t>
    </w:r>
    <w:r w:rsidR="007913EA">
      <w:rPr>
        <w:sz w:val="22"/>
        <w:szCs w:val="22"/>
      </w:rPr>
      <w:t>АО «Чувашская энергосбытовая компания»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9D538C" w:rsidRPr="00285F7D" w:rsidRDefault="009D538C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1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2F54"/>
    <w:rsid w:val="00013DAE"/>
    <w:rsid w:val="0001689C"/>
    <w:rsid w:val="00016B92"/>
    <w:rsid w:val="00016D9B"/>
    <w:rsid w:val="00017E4E"/>
    <w:rsid w:val="0002066B"/>
    <w:rsid w:val="00021056"/>
    <w:rsid w:val="000227A2"/>
    <w:rsid w:val="00023C77"/>
    <w:rsid w:val="00027C38"/>
    <w:rsid w:val="0003102C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1E75"/>
    <w:rsid w:val="0008271C"/>
    <w:rsid w:val="00083AB8"/>
    <w:rsid w:val="00084725"/>
    <w:rsid w:val="000943FF"/>
    <w:rsid w:val="000975A4"/>
    <w:rsid w:val="00097A60"/>
    <w:rsid w:val="000A0D69"/>
    <w:rsid w:val="000A1095"/>
    <w:rsid w:val="000A1E37"/>
    <w:rsid w:val="000A3400"/>
    <w:rsid w:val="000A5155"/>
    <w:rsid w:val="000A638D"/>
    <w:rsid w:val="000A7205"/>
    <w:rsid w:val="000B20DB"/>
    <w:rsid w:val="000B30C4"/>
    <w:rsid w:val="000B3BB0"/>
    <w:rsid w:val="000B47E7"/>
    <w:rsid w:val="000B6009"/>
    <w:rsid w:val="000B7C27"/>
    <w:rsid w:val="000C155E"/>
    <w:rsid w:val="000C2C59"/>
    <w:rsid w:val="000C34D1"/>
    <w:rsid w:val="000C392A"/>
    <w:rsid w:val="000C4E70"/>
    <w:rsid w:val="000C4E80"/>
    <w:rsid w:val="000C500C"/>
    <w:rsid w:val="000C664C"/>
    <w:rsid w:val="000D271E"/>
    <w:rsid w:val="000D30C6"/>
    <w:rsid w:val="000D3C45"/>
    <w:rsid w:val="000D56A1"/>
    <w:rsid w:val="000D5DD3"/>
    <w:rsid w:val="000D64BB"/>
    <w:rsid w:val="000D7648"/>
    <w:rsid w:val="000E0228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296"/>
    <w:rsid w:val="000F6CA7"/>
    <w:rsid w:val="000F774B"/>
    <w:rsid w:val="000F7AAE"/>
    <w:rsid w:val="001002FC"/>
    <w:rsid w:val="00104D95"/>
    <w:rsid w:val="001059F1"/>
    <w:rsid w:val="001064AE"/>
    <w:rsid w:val="00106F80"/>
    <w:rsid w:val="001108DE"/>
    <w:rsid w:val="00110D4B"/>
    <w:rsid w:val="001113AB"/>
    <w:rsid w:val="0011163D"/>
    <w:rsid w:val="0011589E"/>
    <w:rsid w:val="00116825"/>
    <w:rsid w:val="00117BE1"/>
    <w:rsid w:val="001209DF"/>
    <w:rsid w:val="00121038"/>
    <w:rsid w:val="00122FD4"/>
    <w:rsid w:val="0012428D"/>
    <w:rsid w:val="001259AD"/>
    <w:rsid w:val="00127A66"/>
    <w:rsid w:val="001354BA"/>
    <w:rsid w:val="0013593D"/>
    <w:rsid w:val="001368D8"/>
    <w:rsid w:val="001403BD"/>
    <w:rsid w:val="0014051B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584"/>
    <w:rsid w:val="00162735"/>
    <w:rsid w:val="00162C50"/>
    <w:rsid w:val="00163A0E"/>
    <w:rsid w:val="00163A72"/>
    <w:rsid w:val="00163D48"/>
    <w:rsid w:val="00164DA4"/>
    <w:rsid w:val="001653A7"/>
    <w:rsid w:val="001654EB"/>
    <w:rsid w:val="00165EB5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6A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154F"/>
    <w:rsid w:val="001A29B5"/>
    <w:rsid w:val="001A499F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B25"/>
    <w:rsid w:val="001D0F3E"/>
    <w:rsid w:val="001D10F0"/>
    <w:rsid w:val="001D6536"/>
    <w:rsid w:val="001E002C"/>
    <w:rsid w:val="001E00BB"/>
    <w:rsid w:val="001E1F7D"/>
    <w:rsid w:val="001E485A"/>
    <w:rsid w:val="001E78A2"/>
    <w:rsid w:val="001F20B0"/>
    <w:rsid w:val="001F239F"/>
    <w:rsid w:val="001F3657"/>
    <w:rsid w:val="001F4303"/>
    <w:rsid w:val="001F4310"/>
    <w:rsid w:val="0020155A"/>
    <w:rsid w:val="00203FB2"/>
    <w:rsid w:val="002045B4"/>
    <w:rsid w:val="00206399"/>
    <w:rsid w:val="00206D08"/>
    <w:rsid w:val="002073AD"/>
    <w:rsid w:val="0021005A"/>
    <w:rsid w:val="0021266B"/>
    <w:rsid w:val="0021337F"/>
    <w:rsid w:val="0021794D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2C28"/>
    <w:rsid w:val="002445D2"/>
    <w:rsid w:val="00244B06"/>
    <w:rsid w:val="00245462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4920"/>
    <w:rsid w:val="0027512C"/>
    <w:rsid w:val="00276B58"/>
    <w:rsid w:val="00284272"/>
    <w:rsid w:val="0028571D"/>
    <w:rsid w:val="00285F7D"/>
    <w:rsid w:val="0028601D"/>
    <w:rsid w:val="00291F2F"/>
    <w:rsid w:val="00292E27"/>
    <w:rsid w:val="002946C1"/>
    <w:rsid w:val="00295B4C"/>
    <w:rsid w:val="00296BA6"/>
    <w:rsid w:val="002A697B"/>
    <w:rsid w:val="002B0A7E"/>
    <w:rsid w:val="002B1BD2"/>
    <w:rsid w:val="002B2F7D"/>
    <w:rsid w:val="002B33F1"/>
    <w:rsid w:val="002B4771"/>
    <w:rsid w:val="002B4E2F"/>
    <w:rsid w:val="002B63C2"/>
    <w:rsid w:val="002B775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2897"/>
    <w:rsid w:val="002F416E"/>
    <w:rsid w:val="002F7919"/>
    <w:rsid w:val="00300091"/>
    <w:rsid w:val="00301015"/>
    <w:rsid w:val="0030484C"/>
    <w:rsid w:val="00305BF9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948"/>
    <w:rsid w:val="00326A34"/>
    <w:rsid w:val="00326A66"/>
    <w:rsid w:val="00330274"/>
    <w:rsid w:val="003313BB"/>
    <w:rsid w:val="00331450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51B4"/>
    <w:rsid w:val="00356F39"/>
    <w:rsid w:val="00357AF0"/>
    <w:rsid w:val="0036324B"/>
    <w:rsid w:val="00365EB6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4DE4"/>
    <w:rsid w:val="00377F96"/>
    <w:rsid w:val="00381C2D"/>
    <w:rsid w:val="00382366"/>
    <w:rsid w:val="00383F43"/>
    <w:rsid w:val="00390463"/>
    <w:rsid w:val="00390571"/>
    <w:rsid w:val="00390FE5"/>
    <w:rsid w:val="00392340"/>
    <w:rsid w:val="003945B5"/>
    <w:rsid w:val="00395331"/>
    <w:rsid w:val="0039722C"/>
    <w:rsid w:val="00397236"/>
    <w:rsid w:val="003A43C2"/>
    <w:rsid w:val="003B0681"/>
    <w:rsid w:val="003B1112"/>
    <w:rsid w:val="003B230D"/>
    <w:rsid w:val="003B26F8"/>
    <w:rsid w:val="003B5C56"/>
    <w:rsid w:val="003B6D21"/>
    <w:rsid w:val="003B72B4"/>
    <w:rsid w:val="003C09FF"/>
    <w:rsid w:val="003C2421"/>
    <w:rsid w:val="003C357D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696F"/>
    <w:rsid w:val="003E769D"/>
    <w:rsid w:val="003F290B"/>
    <w:rsid w:val="003F32B0"/>
    <w:rsid w:val="003F612D"/>
    <w:rsid w:val="003F7974"/>
    <w:rsid w:val="003F79B7"/>
    <w:rsid w:val="0040029C"/>
    <w:rsid w:val="00403589"/>
    <w:rsid w:val="00404669"/>
    <w:rsid w:val="00405048"/>
    <w:rsid w:val="00406E1D"/>
    <w:rsid w:val="00407780"/>
    <w:rsid w:val="00410A7C"/>
    <w:rsid w:val="00414CCC"/>
    <w:rsid w:val="004164D5"/>
    <w:rsid w:val="00416C81"/>
    <w:rsid w:val="004206AC"/>
    <w:rsid w:val="00420AAD"/>
    <w:rsid w:val="00421AA6"/>
    <w:rsid w:val="0042243B"/>
    <w:rsid w:val="00422FAB"/>
    <w:rsid w:val="004250A0"/>
    <w:rsid w:val="00426148"/>
    <w:rsid w:val="00426377"/>
    <w:rsid w:val="004300C6"/>
    <w:rsid w:val="00430FE8"/>
    <w:rsid w:val="004314A6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3FB4"/>
    <w:rsid w:val="004746E7"/>
    <w:rsid w:val="00476C50"/>
    <w:rsid w:val="00483679"/>
    <w:rsid w:val="004851DD"/>
    <w:rsid w:val="0048529B"/>
    <w:rsid w:val="00490885"/>
    <w:rsid w:val="00491A73"/>
    <w:rsid w:val="00491EAF"/>
    <w:rsid w:val="00492A1A"/>
    <w:rsid w:val="00495BF9"/>
    <w:rsid w:val="004A012B"/>
    <w:rsid w:val="004A02EA"/>
    <w:rsid w:val="004A3650"/>
    <w:rsid w:val="004A4F98"/>
    <w:rsid w:val="004B30D1"/>
    <w:rsid w:val="004B387D"/>
    <w:rsid w:val="004B4625"/>
    <w:rsid w:val="004B6926"/>
    <w:rsid w:val="004C1633"/>
    <w:rsid w:val="004C1676"/>
    <w:rsid w:val="004C1AA7"/>
    <w:rsid w:val="004C35E5"/>
    <w:rsid w:val="004C5DEB"/>
    <w:rsid w:val="004D087C"/>
    <w:rsid w:val="004D1075"/>
    <w:rsid w:val="004D1F81"/>
    <w:rsid w:val="004D33EC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4F5F2B"/>
    <w:rsid w:val="00502E4F"/>
    <w:rsid w:val="00504C99"/>
    <w:rsid w:val="00504D18"/>
    <w:rsid w:val="0050512A"/>
    <w:rsid w:val="00506694"/>
    <w:rsid w:val="005070BA"/>
    <w:rsid w:val="00507D7F"/>
    <w:rsid w:val="00511AAB"/>
    <w:rsid w:val="005120B4"/>
    <w:rsid w:val="00513524"/>
    <w:rsid w:val="00514EE2"/>
    <w:rsid w:val="0051616D"/>
    <w:rsid w:val="00522E6A"/>
    <w:rsid w:val="005250F5"/>
    <w:rsid w:val="00527A5F"/>
    <w:rsid w:val="00530BD1"/>
    <w:rsid w:val="00531057"/>
    <w:rsid w:val="005411BD"/>
    <w:rsid w:val="00541BCA"/>
    <w:rsid w:val="0054369A"/>
    <w:rsid w:val="005439CD"/>
    <w:rsid w:val="00544F98"/>
    <w:rsid w:val="00545115"/>
    <w:rsid w:val="00545634"/>
    <w:rsid w:val="005456D3"/>
    <w:rsid w:val="00545810"/>
    <w:rsid w:val="00546782"/>
    <w:rsid w:val="00555ABB"/>
    <w:rsid w:val="00555FC4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0A32"/>
    <w:rsid w:val="00571230"/>
    <w:rsid w:val="00571533"/>
    <w:rsid w:val="0057352E"/>
    <w:rsid w:val="00575C03"/>
    <w:rsid w:val="00576F97"/>
    <w:rsid w:val="0058014D"/>
    <w:rsid w:val="005801C6"/>
    <w:rsid w:val="00581360"/>
    <w:rsid w:val="0058183E"/>
    <w:rsid w:val="005846F5"/>
    <w:rsid w:val="00584AC1"/>
    <w:rsid w:val="00586D46"/>
    <w:rsid w:val="0059053B"/>
    <w:rsid w:val="00592E9B"/>
    <w:rsid w:val="00596361"/>
    <w:rsid w:val="0059640F"/>
    <w:rsid w:val="005965B4"/>
    <w:rsid w:val="00596A24"/>
    <w:rsid w:val="005A467C"/>
    <w:rsid w:val="005A48E9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C5F67"/>
    <w:rsid w:val="005D07BE"/>
    <w:rsid w:val="005D0EF2"/>
    <w:rsid w:val="005D2F50"/>
    <w:rsid w:val="005D360E"/>
    <w:rsid w:val="005D4099"/>
    <w:rsid w:val="005D5830"/>
    <w:rsid w:val="005D5B19"/>
    <w:rsid w:val="005D60B4"/>
    <w:rsid w:val="005D6BCD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AB1"/>
    <w:rsid w:val="00610D09"/>
    <w:rsid w:val="00611A84"/>
    <w:rsid w:val="00611FE0"/>
    <w:rsid w:val="0061294E"/>
    <w:rsid w:val="00613A9A"/>
    <w:rsid w:val="00614D6F"/>
    <w:rsid w:val="00615772"/>
    <w:rsid w:val="0061637F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102"/>
    <w:rsid w:val="00631DB5"/>
    <w:rsid w:val="00632A55"/>
    <w:rsid w:val="00637B32"/>
    <w:rsid w:val="0064073D"/>
    <w:rsid w:val="00642373"/>
    <w:rsid w:val="00642C11"/>
    <w:rsid w:val="006442FE"/>
    <w:rsid w:val="0064489B"/>
    <w:rsid w:val="006449E7"/>
    <w:rsid w:val="00646E3B"/>
    <w:rsid w:val="0065088F"/>
    <w:rsid w:val="00650D0F"/>
    <w:rsid w:val="00651129"/>
    <w:rsid w:val="0065164F"/>
    <w:rsid w:val="00651D1F"/>
    <w:rsid w:val="00652053"/>
    <w:rsid w:val="00653546"/>
    <w:rsid w:val="006605AA"/>
    <w:rsid w:val="00661633"/>
    <w:rsid w:val="00662D4A"/>
    <w:rsid w:val="00662EB3"/>
    <w:rsid w:val="0066405A"/>
    <w:rsid w:val="0066565B"/>
    <w:rsid w:val="00666015"/>
    <w:rsid w:val="00667F7C"/>
    <w:rsid w:val="00670B16"/>
    <w:rsid w:val="00670EE9"/>
    <w:rsid w:val="00671D27"/>
    <w:rsid w:val="0067227E"/>
    <w:rsid w:val="0067461A"/>
    <w:rsid w:val="00677962"/>
    <w:rsid w:val="00681035"/>
    <w:rsid w:val="00681B28"/>
    <w:rsid w:val="00681B46"/>
    <w:rsid w:val="00681F4A"/>
    <w:rsid w:val="00683C58"/>
    <w:rsid w:val="00685BBB"/>
    <w:rsid w:val="006861A4"/>
    <w:rsid w:val="00686420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2BD4"/>
    <w:rsid w:val="006E36BB"/>
    <w:rsid w:val="006E4453"/>
    <w:rsid w:val="006E6157"/>
    <w:rsid w:val="006E6387"/>
    <w:rsid w:val="006F14C7"/>
    <w:rsid w:val="006F1886"/>
    <w:rsid w:val="006F5A23"/>
    <w:rsid w:val="006F7708"/>
    <w:rsid w:val="006F7A86"/>
    <w:rsid w:val="007005F6"/>
    <w:rsid w:val="007007BC"/>
    <w:rsid w:val="0070119A"/>
    <w:rsid w:val="00703184"/>
    <w:rsid w:val="007048FD"/>
    <w:rsid w:val="007061B1"/>
    <w:rsid w:val="007113C3"/>
    <w:rsid w:val="007138E8"/>
    <w:rsid w:val="0071562F"/>
    <w:rsid w:val="007158BB"/>
    <w:rsid w:val="0071604E"/>
    <w:rsid w:val="00716845"/>
    <w:rsid w:val="00717209"/>
    <w:rsid w:val="0072088F"/>
    <w:rsid w:val="00722201"/>
    <w:rsid w:val="00722210"/>
    <w:rsid w:val="00723AF7"/>
    <w:rsid w:val="00723D0E"/>
    <w:rsid w:val="00723E9B"/>
    <w:rsid w:val="00724023"/>
    <w:rsid w:val="00726623"/>
    <w:rsid w:val="007270A4"/>
    <w:rsid w:val="0072799A"/>
    <w:rsid w:val="00731DB9"/>
    <w:rsid w:val="00733319"/>
    <w:rsid w:val="00737AD6"/>
    <w:rsid w:val="00737EE6"/>
    <w:rsid w:val="00740DEC"/>
    <w:rsid w:val="00741038"/>
    <w:rsid w:val="00741547"/>
    <w:rsid w:val="007457D0"/>
    <w:rsid w:val="00746431"/>
    <w:rsid w:val="007514E9"/>
    <w:rsid w:val="00751F61"/>
    <w:rsid w:val="007523C0"/>
    <w:rsid w:val="007530D8"/>
    <w:rsid w:val="00753AFF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8763F"/>
    <w:rsid w:val="00790DA3"/>
    <w:rsid w:val="007913EA"/>
    <w:rsid w:val="007922F3"/>
    <w:rsid w:val="00792FA8"/>
    <w:rsid w:val="00796A71"/>
    <w:rsid w:val="007A01BF"/>
    <w:rsid w:val="007A3642"/>
    <w:rsid w:val="007A5FB7"/>
    <w:rsid w:val="007A7580"/>
    <w:rsid w:val="007B01F6"/>
    <w:rsid w:val="007B094A"/>
    <w:rsid w:val="007B2230"/>
    <w:rsid w:val="007B3517"/>
    <w:rsid w:val="007B45FC"/>
    <w:rsid w:val="007B5713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6D3"/>
    <w:rsid w:val="007D490D"/>
    <w:rsid w:val="007E1853"/>
    <w:rsid w:val="007E1CC2"/>
    <w:rsid w:val="007E2DB6"/>
    <w:rsid w:val="007E3454"/>
    <w:rsid w:val="007E4CB3"/>
    <w:rsid w:val="007E4F40"/>
    <w:rsid w:val="007E5078"/>
    <w:rsid w:val="007E7371"/>
    <w:rsid w:val="007F05E5"/>
    <w:rsid w:val="007F1D9D"/>
    <w:rsid w:val="007F21C2"/>
    <w:rsid w:val="007F4919"/>
    <w:rsid w:val="007F7655"/>
    <w:rsid w:val="007F7F7E"/>
    <w:rsid w:val="00800442"/>
    <w:rsid w:val="008063A0"/>
    <w:rsid w:val="00810AB9"/>
    <w:rsid w:val="00811DAE"/>
    <w:rsid w:val="00811F8A"/>
    <w:rsid w:val="00813444"/>
    <w:rsid w:val="00815D0A"/>
    <w:rsid w:val="008170EF"/>
    <w:rsid w:val="00820EF7"/>
    <w:rsid w:val="00825BFF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3D5B"/>
    <w:rsid w:val="00844DEB"/>
    <w:rsid w:val="008477D4"/>
    <w:rsid w:val="00851497"/>
    <w:rsid w:val="00851621"/>
    <w:rsid w:val="00851C66"/>
    <w:rsid w:val="008522E0"/>
    <w:rsid w:val="00856773"/>
    <w:rsid w:val="00857C41"/>
    <w:rsid w:val="008604BB"/>
    <w:rsid w:val="00861172"/>
    <w:rsid w:val="00862477"/>
    <w:rsid w:val="008625B0"/>
    <w:rsid w:val="00864254"/>
    <w:rsid w:val="00864608"/>
    <w:rsid w:val="00865A6F"/>
    <w:rsid w:val="00866435"/>
    <w:rsid w:val="0086723D"/>
    <w:rsid w:val="00871A7D"/>
    <w:rsid w:val="00871E6F"/>
    <w:rsid w:val="00872918"/>
    <w:rsid w:val="00872D1E"/>
    <w:rsid w:val="00874F7D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96335"/>
    <w:rsid w:val="008A1D11"/>
    <w:rsid w:val="008A3AA5"/>
    <w:rsid w:val="008A6ADA"/>
    <w:rsid w:val="008A6DDD"/>
    <w:rsid w:val="008A7E8E"/>
    <w:rsid w:val="008B1109"/>
    <w:rsid w:val="008B1468"/>
    <w:rsid w:val="008B1B70"/>
    <w:rsid w:val="008B1CBF"/>
    <w:rsid w:val="008B1F32"/>
    <w:rsid w:val="008B4337"/>
    <w:rsid w:val="008B73BE"/>
    <w:rsid w:val="008C0C40"/>
    <w:rsid w:val="008C33D9"/>
    <w:rsid w:val="008C39F7"/>
    <w:rsid w:val="008D1404"/>
    <w:rsid w:val="008D4DFD"/>
    <w:rsid w:val="008D72C2"/>
    <w:rsid w:val="008D75D2"/>
    <w:rsid w:val="008E08AE"/>
    <w:rsid w:val="008E0F41"/>
    <w:rsid w:val="008E27ED"/>
    <w:rsid w:val="008E2AEB"/>
    <w:rsid w:val="008E53B4"/>
    <w:rsid w:val="008E7774"/>
    <w:rsid w:val="008F13AB"/>
    <w:rsid w:val="008F33DB"/>
    <w:rsid w:val="008F40A0"/>
    <w:rsid w:val="008F6AE2"/>
    <w:rsid w:val="0090012E"/>
    <w:rsid w:val="0090058D"/>
    <w:rsid w:val="00900912"/>
    <w:rsid w:val="00901DBD"/>
    <w:rsid w:val="00903D2F"/>
    <w:rsid w:val="00905581"/>
    <w:rsid w:val="009066A0"/>
    <w:rsid w:val="009115A1"/>
    <w:rsid w:val="00913489"/>
    <w:rsid w:val="00913ECE"/>
    <w:rsid w:val="0091452F"/>
    <w:rsid w:val="00914F87"/>
    <w:rsid w:val="00915A6C"/>
    <w:rsid w:val="00916672"/>
    <w:rsid w:val="009168FD"/>
    <w:rsid w:val="00916B97"/>
    <w:rsid w:val="00917F53"/>
    <w:rsid w:val="00924CDF"/>
    <w:rsid w:val="00926C73"/>
    <w:rsid w:val="009278E6"/>
    <w:rsid w:val="00927C98"/>
    <w:rsid w:val="009300B5"/>
    <w:rsid w:val="009307F1"/>
    <w:rsid w:val="0093130F"/>
    <w:rsid w:val="00931647"/>
    <w:rsid w:val="00933AAA"/>
    <w:rsid w:val="00935D6E"/>
    <w:rsid w:val="00941C5C"/>
    <w:rsid w:val="00941CEC"/>
    <w:rsid w:val="009422E5"/>
    <w:rsid w:val="00942BE2"/>
    <w:rsid w:val="00944445"/>
    <w:rsid w:val="00950C0A"/>
    <w:rsid w:val="0095139E"/>
    <w:rsid w:val="00954AB9"/>
    <w:rsid w:val="009561B4"/>
    <w:rsid w:val="00970281"/>
    <w:rsid w:val="009717C7"/>
    <w:rsid w:val="00971990"/>
    <w:rsid w:val="00971CE2"/>
    <w:rsid w:val="009747FF"/>
    <w:rsid w:val="00975986"/>
    <w:rsid w:val="009769DC"/>
    <w:rsid w:val="00976B41"/>
    <w:rsid w:val="00984109"/>
    <w:rsid w:val="0098440E"/>
    <w:rsid w:val="009866D7"/>
    <w:rsid w:val="009917FB"/>
    <w:rsid w:val="00992D6A"/>
    <w:rsid w:val="009A16A5"/>
    <w:rsid w:val="009A3119"/>
    <w:rsid w:val="009B08D3"/>
    <w:rsid w:val="009B2990"/>
    <w:rsid w:val="009B2DCA"/>
    <w:rsid w:val="009B4FBF"/>
    <w:rsid w:val="009B50DB"/>
    <w:rsid w:val="009B6CDD"/>
    <w:rsid w:val="009B72E2"/>
    <w:rsid w:val="009B79E0"/>
    <w:rsid w:val="009C1619"/>
    <w:rsid w:val="009C5656"/>
    <w:rsid w:val="009C5CEC"/>
    <w:rsid w:val="009C65BE"/>
    <w:rsid w:val="009C6FC8"/>
    <w:rsid w:val="009D0528"/>
    <w:rsid w:val="009D0F22"/>
    <w:rsid w:val="009D27D0"/>
    <w:rsid w:val="009D538C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4BB6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970"/>
    <w:rsid w:val="00A42A4E"/>
    <w:rsid w:val="00A43032"/>
    <w:rsid w:val="00A47529"/>
    <w:rsid w:val="00A503FB"/>
    <w:rsid w:val="00A523C9"/>
    <w:rsid w:val="00A53D61"/>
    <w:rsid w:val="00A54353"/>
    <w:rsid w:val="00A54588"/>
    <w:rsid w:val="00A5496E"/>
    <w:rsid w:val="00A5538E"/>
    <w:rsid w:val="00A55FB4"/>
    <w:rsid w:val="00A57A2B"/>
    <w:rsid w:val="00A60224"/>
    <w:rsid w:val="00A6092B"/>
    <w:rsid w:val="00A62586"/>
    <w:rsid w:val="00A67B7E"/>
    <w:rsid w:val="00A70D52"/>
    <w:rsid w:val="00A75191"/>
    <w:rsid w:val="00A76FA3"/>
    <w:rsid w:val="00A77163"/>
    <w:rsid w:val="00A8165B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1D87"/>
    <w:rsid w:val="00AB2F24"/>
    <w:rsid w:val="00AB37E3"/>
    <w:rsid w:val="00AB43E2"/>
    <w:rsid w:val="00AB58E7"/>
    <w:rsid w:val="00AB74AB"/>
    <w:rsid w:val="00AC1AF2"/>
    <w:rsid w:val="00AC3756"/>
    <w:rsid w:val="00AC4AD4"/>
    <w:rsid w:val="00AC5BEB"/>
    <w:rsid w:val="00AC67DC"/>
    <w:rsid w:val="00AD02D7"/>
    <w:rsid w:val="00AD0F00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0BA1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17650"/>
    <w:rsid w:val="00B22200"/>
    <w:rsid w:val="00B22FFC"/>
    <w:rsid w:val="00B25B9F"/>
    <w:rsid w:val="00B26408"/>
    <w:rsid w:val="00B270D4"/>
    <w:rsid w:val="00B27F5E"/>
    <w:rsid w:val="00B30F6C"/>
    <w:rsid w:val="00B31E9C"/>
    <w:rsid w:val="00B32BFB"/>
    <w:rsid w:val="00B33746"/>
    <w:rsid w:val="00B35081"/>
    <w:rsid w:val="00B36514"/>
    <w:rsid w:val="00B40079"/>
    <w:rsid w:val="00B434F8"/>
    <w:rsid w:val="00B453F3"/>
    <w:rsid w:val="00B4738B"/>
    <w:rsid w:val="00B47734"/>
    <w:rsid w:val="00B51C9E"/>
    <w:rsid w:val="00B523B2"/>
    <w:rsid w:val="00B56958"/>
    <w:rsid w:val="00B56C80"/>
    <w:rsid w:val="00B601E0"/>
    <w:rsid w:val="00B605F6"/>
    <w:rsid w:val="00B60E63"/>
    <w:rsid w:val="00B61A9B"/>
    <w:rsid w:val="00B62A77"/>
    <w:rsid w:val="00B62CD7"/>
    <w:rsid w:val="00B635BF"/>
    <w:rsid w:val="00B63C79"/>
    <w:rsid w:val="00B65DED"/>
    <w:rsid w:val="00B700E8"/>
    <w:rsid w:val="00B743DB"/>
    <w:rsid w:val="00B74F74"/>
    <w:rsid w:val="00B802CC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97478"/>
    <w:rsid w:val="00BA0368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B69DF"/>
    <w:rsid w:val="00BC1046"/>
    <w:rsid w:val="00BC1C17"/>
    <w:rsid w:val="00BC2813"/>
    <w:rsid w:val="00BC3C34"/>
    <w:rsid w:val="00BC40A1"/>
    <w:rsid w:val="00BD078E"/>
    <w:rsid w:val="00BD1340"/>
    <w:rsid w:val="00BD2DCD"/>
    <w:rsid w:val="00BD45DE"/>
    <w:rsid w:val="00BD59E7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23E1"/>
    <w:rsid w:val="00C13397"/>
    <w:rsid w:val="00C137B8"/>
    <w:rsid w:val="00C13E26"/>
    <w:rsid w:val="00C1498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847"/>
    <w:rsid w:val="00C30D73"/>
    <w:rsid w:val="00C33EFB"/>
    <w:rsid w:val="00C34816"/>
    <w:rsid w:val="00C350DE"/>
    <w:rsid w:val="00C379EF"/>
    <w:rsid w:val="00C40501"/>
    <w:rsid w:val="00C406C9"/>
    <w:rsid w:val="00C411C8"/>
    <w:rsid w:val="00C456BC"/>
    <w:rsid w:val="00C50063"/>
    <w:rsid w:val="00C51555"/>
    <w:rsid w:val="00C52B49"/>
    <w:rsid w:val="00C5315A"/>
    <w:rsid w:val="00C531AF"/>
    <w:rsid w:val="00C55103"/>
    <w:rsid w:val="00C563F5"/>
    <w:rsid w:val="00C61232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4D80"/>
    <w:rsid w:val="00C87069"/>
    <w:rsid w:val="00C87439"/>
    <w:rsid w:val="00C91D7C"/>
    <w:rsid w:val="00C92A2B"/>
    <w:rsid w:val="00C93939"/>
    <w:rsid w:val="00C953DC"/>
    <w:rsid w:val="00C96E2F"/>
    <w:rsid w:val="00C97D43"/>
    <w:rsid w:val="00CA05EE"/>
    <w:rsid w:val="00CA2101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198C"/>
    <w:rsid w:val="00CC27E4"/>
    <w:rsid w:val="00CC2D65"/>
    <w:rsid w:val="00CC3264"/>
    <w:rsid w:val="00CC46D0"/>
    <w:rsid w:val="00CC4AA2"/>
    <w:rsid w:val="00CC5A1E"/>
    <w:rsid w:val="00CC5ED7"/>
    <w:rsid w:val="00CC6931"/>
    <w:rsid w:val="00CC7CBB"/>
    <w:rsid w:val="00CD33FC"/>
    <w:rsid w:val="00CD495A"/>
    <w:rsid w:val="00CD5C7C"/>
    <w:rsid w:val="00CD63D7"/>
    <w:rsid w:val="00CD727D"/>
    <w:rsid w:val="00CD7968"/>
    <w:rsid w:val="00CD79CE"/>
    <w:rsid w:val="00CE020F"/>
    <w:rsid w:val="00CE061E"/>
    <w:rsid w:val="00CE4EA8"/>
    <w:rsid w:val="00CE5391"/>
    <w:rsid w:val="00CE5A19"/>
    <w:rsid w:val="00CE72E9"/>
    <w:rsid w:val="00CF3D9F"/>
    <w:rsid w:val="00CF50DE"/>
    <w:rsid w:val="00CF5D76"/>
    <w:rsid w:val="00CF5E2E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17DAE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A55"/>
    <w:rsid w:val="00D42E1D"/>
    <w:rsid w:val="00D42E23"/>
    <w:rsid w:val="00D4614E"/>
    <w:rsid w:val="00D50B0D"/>
    <w:rsid w:val="00D50D28"/>
    <w:rsid w:val="00D518BB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C75"/>
    <w:rsid w:val="00D75E97"/>
    <w:rsid w:val="00D80B9F"/>
    <w:rsid w:val="00D80FF5"/>
    <w:rsid w:val="00D81C1D"/>
    <w:rsid w:val="00D81E11"/>
    <w:rsid w:val="00D84087"/>
    <w:rsid w:val="00D904F6"/>
    <w:rsid w:val="00D936E7"/>
    <w:rsid w:val="00D93762"/>
    <w:rsid w:val="00D94D9D"/>
    <w:rsid w:val="00D97163"/>
    <w:rsid w:val="00D9759B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5973"/>
    <w:rsid w:val="00DD6C45"/>
    <w:rsid w:val="00DD70C8"/>
    <w:rsid w:val="00DE22A8"/>
    <w:rsid w:val="00DE295B"/>
    <w:rsid w:val="00DE311A"/>
    <w:rsid w:val="00DE401D"/>
    <w:rsid w:val="00DE46D0"/>
    <w:rsid w:val="00DE495E"/>
    <w:rsid w:val="00DE63C6"/>
    <w:rsid w:val="00DE64E7"/>
    <w:rsid w:val="00DF1B8C"/>
    <w:rsid w:val="00DF3E42"/>
    <w:rsid w:val="00DF5528"/>
    <w:rsid w:val="00DF5C7F"/>
    <w:rsid w:val="00DF7ECB"/>
    <w:rsid w:val="00E00322"/>
    <w:rsid w:val="00E003BD"/>
    <w:rsid w:val="00E016D9"/>
    <w:rsid w:val="00E0221E"/>
    <w:rsid w:val="00E10366"/>
    <w:rsid w:val="00E127C3"/>
    <w:rsid w:val="00E1317D"/>
    <w:rsid w:val="00E148BE"/>
    <w:rsid w:val="00E14901"/>
    <w:rsid w:val="00E14A87"/>
    <w:rsid w:val="00E170D6"/>
    <w:rsid w:val="00E20F42"/>
    <w:rsid w:val="00E2131F"/>
    <w:rsid w:val="00E214AA"/>
    <w:rsid w:val="00E22076"/>
    <w:rsid w:val="00E22DF6"/>
    <w:rsid w:val="00E23B8D"/>
    <w:rsid w:val="00E256F2"/>
    <w:rsid w:val="00E2654C"/>
    <w:rsid w:val="00E26B3B"/>
    <w:rsid w:val="00E279C7"/>
    <w:rsid w:val="00E31360"/>
    <w:rsid w:val="00E317E3"/>
    <w:rsid w:val="00E34958"/>
    <w:rsid w:val="00E3670D"/>
    <w:rsid w:val="00E3744E"/>
    <w:rsid w:val="00E40811"/>
    <w:rsid w:val="00E4370B"/>
    <w:rsid w:val="00E52C50"/>
    <w:rsid w:val="00E538D7"/>
    <w:rsid w:val="00E54AD1"/>
    <w:rsid w:val="00E579FC"/>
    <w:rsid w:val="00E609E2"/>
    <w:rsid w:val="00E60D95"/>
    <w:rsid w:val="00E628A5"/>
    <w:rsid w:val="00E64A8C"/>
    <w:rsid w:val="00E673D6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0F9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5C79"/>
    <w:rsid w:val="00ED6C97"/>
    <w:rsid w:val="00EE039F"/>
    <w:rsid w:val="00EE2141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605"/>
    <w:rsid w:val="00EF5FE3"/>
    <w:rsid w:val="00EF6A0F"/>
    <w:rsid w:val="00F003FE"/>
    <w:rsid w:val="00F00853"/>
    <w:rsid w:val="00F00899"/>
    <w:rsid w:val="00F048B9"/>
    <w:rsid w:val="00F04A4A"/>
    <w:rsid w:val="00F04FE2"/>
    <w:rsid w:val="00F05283"/>
    <w:rsid w:val="00F06372"/>
    <w:rsid w:val="00F07269"/>
    <w:rsid w:val="00F072D2"/>
    <w:rsid w:val="00F12B56"/>
    <w:rsid w:val="00F131C0"/>
    <w:rsid w:val="00F1420D"/>
    <w:rsid w:val="00F15DE1"/>
    <w:rsid w:val="00F173C9"/>
    <w:rsid w:val="00F22629"/>
    <w:rsid w:val="00F24FB1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5A94"/>
    <w:rsid w:val="00F57A4E"/>
    <w:rsid w:val="00F6286F"/>
    <w:rsid w:val="00F62CF3"/>
    <w:rsid w:val="00F63CCC"/>
    <w:rsid w:val="00F6485B"/>
    <w:rsid w:val="00F649A3"/>
    <w:rsid w:val="00F64C6D"/>
    <w:rsid w:val="00F67341"/>
    <w:rsid w:val="00F70D2C"/>
    <w:rsid w:val="00F711ED"/>
    <w:rsid w:val="00F71D9D"/>
    <w:rsid w:val="00F72F01"/>
    <w:rsid w:val="00F736F8"/>
    <w:rsid w:val="00F744D4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5EA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E695A"/>
    <w:rsid w:val="00FF07DC"/>
    <w:rsid w:val="00FF35F9"/>
    <w:rsid w:val="00FF3B09"/>
    <w:rsid w:val="00FF4EF5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3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  <w:style w:type="paragraph" w:customStyle="1" w:styleId="ConsPlusNormal">
    <w:name w:val="ConsPlusNormal"/>
    <w:rsid w:val="00AD0F00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5"/>
    <w:rsid w:val="00016B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a5"/>
    <w:uiPriority w:val="99"/>
    <w:semiHidden/>
    <w:unhideWhenUsed/>
    <w:rsid w:val="00016B9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5"/>
    <w:rsid w:val="00B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package" Target="embeddings/_____Microsoft_Excel1.xls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.xlsx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4BE7-E863-4940-AA68-378CD618D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21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20</cp:revision>
  <cp:lastPrinted>2019-01-16T07:24:00Z</cp:lastPrinted>
  <dcterms:created xsi:type="dcterms:W3CDTF">2021-06-08T08:34:00Z</dcterms:created>
  <dcterms:modified xsi:type="dcterms:W3CDTF">2022-01-14T08:48:00Z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