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6940" w:rsidRPr="0017652F" w:rsidRDefault="001B6523" w:rsidP="001B6523">
      <w:pPr>
        <w:spacing w:line="240" w:lineRule="auto"/>
        <w:jc w:val="right"/>
        <w:rPr>
          <w:b/>
        </w:rPr>
      </w:pPr>
      <w:bookmarkStart w:id="0" w:name="_GoBack"/>
      <w:bookmarkEnd w:id="0"/>
      <w:r w:rsidRPr="001B6523">
        <w:rPr>
          <w:rFonts w:eastAsia="Calibri"/>
          <w:sz w:val="24"/>
          <w:szCs w:val="24"/>
        </w:rPr>
        <w:t xml:space="preserve">Утверждена Приказом ПАО «РусГидро» </w:t>
      </w:r>
      <w:r w:rsidRPr="000A2A68">
        <w:rPr>
          <w:rFonts w:eastAsia="Calibri"/>
          <w:sz w:val="24"/>
          <w:szCs w:val="24"/>
        </w:rPr>
        <w:t>от 29.11.2019</w:t>
      </w:r>
      <w:r w:rsidR="00D63C37">
        <w:rPr>
          <w:rFonts w:eastAsia="Calibri"/>
          <w:sz w:val="24"/>
          <w:szCs w:val="24"/>
        </w:rPr>
        <w:t>г.</w:t>
      </w:r>
      <w:r w:rsidRPr="000A2A68">
        <w:rPr>
          <w:rFonts w:eastAsia="Calibri"/>
          <w:sz w:val="24"/>
          <w:szCs w:val="24"/>
        </w:rPr>
        <w:t xml:space="preserve"> №974</w:t>
      </w:r>
      <w:r>
        <w:rPr>
          <w:i/>
          <w:szCs w:val="26"/>
          <w:shd w:val="clear" w:color="auto" w:fill="FFFF99"/>
        </w:rPr>
        <w:t xml:space="preserve"> </w:t>
      </w:r>
    </w:p>
    <w:p w:rsidR="00F6485B" w:rsidRDefault="00AA7BE7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ЕДИНАЯ </w:t>
      </w:r>
      <w:r w:rsidR="000A7205"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0A7205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 w:rsidR="000A7205"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 w:rsidR="000A7205">
        <w:rPr>
          <w:b/>
          <w:caps/>
        </w:rPr>
        <w:t>и</w:t>
      </w:r>
      <w:r w:rsidR="000A7205"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 w:rsidR="000A7205"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>
        <w:rPr>
          <w:b/>
          <w:bCs/>
          <w:iCs/>
        </w:rPr>
        <w:t>ГРУППОЙ</w:t>
      </w:r>
      <w:r w:rsidRPr="00CB5DBA">
        <w:rPr>
          <w:b/>
          <w:bCs/>
          <w:iCs/>
        </w:rPr>
        <w:t xml:space="preserve"> </w:t>
      </w:r>
      <w:r w:rsidR="00A0667C">
        <w:rPr>
          <w:b/>
          <w:bCs/>
          <w:iCs/>
        </w:rPr>
        <w:t>РУСГИДРО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485B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134" w:right="567" w:bottom="1134" w:left="1134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336940" w:rsidRDefault="002A5164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25849109" w:history="1">
        <w:r w:rsidR="00336940" w:rsidRPr="00BC35C5">
          <w:rPr>
            <w:rStyle w:val="af3"/>
            <w:noProof/>
          </w:rPr>
          <w:t>Термины и определения в целях настоящей методики</w:t>
        </w:r>
        <w:r w:rsidR="00336940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336940" w:rsidRDefault="003B432C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0" w:history="1">
        <w:r w:rsidR="00336940" w:rsidRPr="00BC35C5">
          <w:rPr>
            <w:rStyle w:val="af3"/>
            <w:noProof/>
          </w:rPr>
          <w:t>1.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_Toc25849110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5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1" w:history="1">
        <w:r w:rsidR="00336940" w:rsidRPr="00BC35C5">
          <w:rPr>
            <w:rStyle w:val="af3"/>
            <w:noProof/>
          </w:rPr>
          <w:t>1.1.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Цели и задачи методики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_Toc25849111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5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12" w:history="1">
        <w:r w:rsidR="00336940" w:rsidRPr="00BC35C5">
          <w:rPr>
            <w:rStyle w:val="af3"/>
            <w:noProof/>
          </w:rPr>
          <w:t>2.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Проведение проверки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_Toc25849112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5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3" w:history="1">
        <w:r w:rsidR="00336940" w:rsidRPr="00BC35C5">
          <w:rPr>
            <w:rStyle w:val="af3"/>
            <w:noProof/>
          </w:rPr>
          <w:t>2.1.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Общие положения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_Toc25849113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5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4" w:history="1">
        <w:r w:rsidR="00336940" w:rsidRPr="00BC35C5">
          <w:rPr>
            <w:rStyle w:val="af3"/>
            <w:noProof/>
          </w:rPr>
          <w:t>2.2.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проведения проверки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_Toc25849114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6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5" w:history="1">
        <w:r w:rsidR="00336940" w:rsidRPr="00BC35C5">
          <w:rPr>
            <w:rStyle w:val="af3"/>
            <w:noProof/>
          </w:rPr>
          <w:t>2.3.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надежности (деловой репутации)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_Toc25849115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6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6" w:history="1">
        <w:r w:rsidR="00336940" w:rsidRPr="00BC35C5">
          <w:rPr>
            <w:rStyle w:val="af3"/>
            <w:noProof/>
          </w:rPr>
          <w:t>2.4.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Критерии отбора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_Toc25849116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6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7" w:history="1">
        <w:r w:rsidR="00336940" w:rsidRPr="00BC35C5">
          <w:rPr>
            <w:rStyle w:val="af3"/>
            <w:noProof/>
          </w:rPr>
          <w:t>2.5.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Ограничивающие факторы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_Toc25849117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8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8" w:history="1">
        <w:r w:rsidR="00336940" w:rsidRPr="00BC35C5">
          <w:rPr>
            <w:rStyle w:val="af3"/>
            <w:noProof/>
          </w:rPr>
          <w:t>2.6.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финансового состояния (устойчивости)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_Toc25849118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9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19" w:history="1">
        <w:r w:rsidR="00336940" w:rsidRPr="00BC35C5">
          <w:rPr>
            <w:rStyle w:val="af3"/>
            <w:noProof/>
          </w:rPr>
          <w:t>2.7.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доли привлеченных средств в пассивах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_Toc25849119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14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0" w:history="1">
        <w:r w:rsidR="00336940" w:rsidRPr="00BC35C5">
          <w:rPr>
            <w:rStyle w:val="af3"/>
            <w:noProof/>
          </w:rPr>
          <w:t>2.8.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рентабельности инвестированного капитала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_Toc25849120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15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1" w:history="1">
        <w:r w:rsidR="00336940" w:rsidRPr="00BC35C5">
          <w:rPr>
            <w:rStyle w:val="af3"/>
            <w:noProof/>
          </w:rPr>
          <w:t>2.9.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долга / EBITDA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_Toc25849121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15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2" w:history="1">
        <w:r w:rsidR="00336940" w:rsidRPr="00BC35C5">
          <w:rPr>
            <w:rStyle w:val="af3"/>
            <w:noProof/>
          </w:rPr>
          <w:t>2.10.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дебиторской задолженности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_Toc25849122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16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3" w:history="1">
        <w:r w:rsidR="00336940" w:rsidRPr="00BC35C5">
          <w:rPr>
            <w:rStyle w:val="af3"/>
            <w:noProof/>
          </w:rPr>
          <w:t>2.11.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периода оборота кредиторской задолженности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_Toc25849123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17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4" w:history="1">
        <w:r w:rsidR="00336940" w:rsidRPr="00BC35C5">
          <w:rPr>
            <w:rStyle w:val="af3"/>
            <w:noProof/>
          </w:rPr>
          <w:t>2.12.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абсолютной ликвидности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_Toc25849124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17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5" w:history="1">
        <w:r w:rsidR="00336940" w:rsidRPr="00BC35C5">
          <w:rPr>
            <w:rStyle w:val="af3"/>
            <w:noProof/>
          </w:rPr>
          <w:t>2.13.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_Toc25849125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18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6" w:history="1">
        <w:r w:rsidR="00336940" w:rsidRPr="00BC35C5">
          <w:rPr>
            <w:rStyle w:val="af3"/>
            <w:noProof/>
          </w:rPr>
          <w:t>2.14.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финансовой независимости (автономии)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_Toc25849126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18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7" w:history="1">
        <w:r w:rsidR="00336940" w:rsidRPr="00BC35C5">
          <w:rPr>
            <w:rStyle w:val="af3"/>
            <w:noProof/>
          </w:rPr>
          <w:t>2.15.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_Toc25849127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18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28" w:history="1">
        <w:r w:rsidR="00336940" w:rsidRPr="00BC35C5">
          <w:rPr>
            <w:rStyle w:val="af3"/>
            <w:noProof/>
          </w:rPr>
          <w:t>2.16.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Порядок расчета коэффициента масштаба деятельности Участника по отношению к активам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_Toc25849128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19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29" w:history="1">
        <w:r w:rsidR="00336940" w:rsidRPr="00BC35C5">
          <w:rPr>
            <w:rStyle w:val="af3"/>
            <w:noProof/>
          </w:rPr>
          <w:t>3.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Коллективного участника закупки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_Toc25849129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19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0" w:history="1">
        <w:r w:rsidR="00336940" w:rsidRPr="00BC35C5">
          <w:rPr>
            <w:rStyle w:val="af3"/>
            <w:noProof/>
          </w:rPr>
          <w:t>3.1.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Коллективного участника закупки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_Toc25849130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19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16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25849131" w:history="1">
        <w:r w:rsidR="00336940" w:rsidRPr="00BC35C5">
          <w:rPr>
            <w:rStyle w:val="af3"/>
            <w:noProof/>
          </w:rPr>
          <w:t>4.</w:t>
        </w:r>
        <w:r w:rsidR="00336940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Проверка Генерального подрядчика с учетом привлекаемых субподрядчиков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_Toc25849131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21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2" w:history="1">
        <w:r w:rsidR="00336940" w:rsidRPr="00BC35C5">
          <w:rPr>
            <w:rStyle w:val="af3"/>
            <w:noProof/>
          </w:rPr>
          <w:t>4.1.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Участника, выступающего Генеральным подрядчиком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_Toc25849132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21</w:t>
        </w:r>
        <w:r w:rsidR="002A5164">
          <w:rPr>
            <w:noProof/>
            <w:webHidden/>
          </w:rPr>
          <w:fldChar w:fldCharType="end"/>
        </w:r>
      </w:hyperlink>
    </w:p>
    <w:p w:rsidR="00336940" w:rsidRDefault="003B432C">
      <w:pPr>
        <w:pStyle w:val="23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25849133" w:history="1">
        <w:r w:rsidR="00336940" w:rsidRPr="00BC35C5">
          <w:rPr>
            <w:rStyle w:val="af3"/>
            <w:noProof/>
          </w:rPr>
          <w:t>4.2.</w:t>
        </w:r>
        <w:r w:rsidR="00336940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36940" w:rsidRPr="00BC35C5">
          <w:rPr>
            <w:rStyle w:val="af3"/>
            <w:noProof/>
          </w:rPr>
          <w:t>Особенности проверки привлекаемых субподрядчиков</w:t>
        </w:r>
        <w:r w:rsidR="00336940">
          <w:rPr>
            <w:noProof/>
            <w:webHidden/>
          </w:rPr>
          <w:tab/>
        </w:r>
        <w:r w:rsidR="002A5164">
          <w:rPr>
            <w:noProof/>
            <w:webHidden/>
          </w:rPr>
          <w:fldChar w:fldCharType="begin"/>
        </w:r>
        <w:r w:rsidR="00336940">
          <w:rPr>
            <w:noProof/>
            <w:webHidden/>
          </w:rPr>
          <w:instrText xml:space="preserve"> PAGEREF _Toc25849133 \h </w:instrText>
        </w:r>
        <w:r w:rsidR="002A5164">
          <w:rPr>
            <w:noProof/>
            <w:webHidden/>
          </w:rPr>
        </w:r>
        <w:r w:rsidR="002A5164">
          <w:rPr>
            <w:noProof/>
            <w:webHidden/>
          </w:rPr>
          <w:fldChar w:fldCharType="separate"/>
        </w:r>
        <w:r w:rsidR="002F6840">
          <w:rPr>
            <w:noProof/>
            <w:webHidden/>
          </w:rPr>
          <w:t>21</w:t>
        </w:r>
        <w:r w:rsidR="002A5164">
          <w:rPr>
            <w:noProof/>
            <w:webHidden/>
          </w:rPr>
          <w:fldChar w:fldCharType="end"/>
        </w:r>
      </w:hyperlink>
    </w:p>
    <w:p w:rsidR="009B2990" w:rsidRPr="00B453F3" w:rsidRDefault="002A5164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1" w:name="_Toc25849109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1"/>
    </w:p>
    <w:tbl>
      <w:tblPr>
        <w:tblStyle w:val="a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425"/>
        <w:gridCol w:w="6237"/>
      </w:tblGrid>
      <w:tr w:rsidR="00941CEC" w:rsidTr="00B31E9C">
        <w:tc>
          <w:tcPr>
            <w:tcW w:w="3686" w:type="dxa"/>
          </w:tcPr>
          <w:p w:rsidR="00941CEC" w:rsidRDefault="00941CEC" w:rsidP="00941CEC">
            <w:pPr>
              <w:pStyle w:val="2"/>
              <w:ind w:left="0"/>
            </w:pPr>
            <w:r w:rsidRPr="00941CEC">
              <w:rPr>
                <w:b/>
              </w:rPr>
              <w:t>Документация о закупке</w:t>
            </w:r>
          </w:p>
        </w:tc>
        <w:tc>
          <w:tcPr>
            <w:tcW w:w="425" w:type="dxa"/>
          </w:tcPr>
          <w:p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941CEC" w:rsidRDefault="00941CEC" w:rsidP="00941CEC">
            <w:pPr>
              <w:pStyle w:val="2"/>
              <w:ind w:left="0"/>
            </w:pPr>
            <w:r w:rsidRPr="004D1075">
              <w:t>комплект документов, содержащий всю необходимую и достаточную информацию о предмете закупки, условиях ее проведения.</w:t>
            </w:r>
          </w:p>
        </w:tc>
      </w:tr>
      <w:tr w:rsidR="00941CEC" w:rsidTr="00B31E9C">
        <w:tc>
          <w:tcPr>
            <w:tcW w:w="3686" w:type="dxa"/>
          </w:tcPr>
          <w:p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Заказчик</w:t>
            </w:r>
          </w:p>
        </w:tc>
        <w:tc>
          <w:tcPr>
            <w:tcW w:w="425" w:type="dxa"/>
          </w:tcPr>
          <w:p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941CEC" w:rsidRDefault="00941CEC" w:rsidP="00941CEC">
            <w:pPr>
              <w:pStyle w:val="2"/>
              <w:ind w:left="0"/>
            </w:pPr>
            <w:r>
              <w:t>ПАО </w:t>
            </w:r>
            <w:r w:rsidRPr="00CB5DBA">
              <w:t>«РусГидро» или организация Группы РусГидро</w:t>
            </w:r>
            <w:r w:rsidRPr="004D1075">
              <w:t>, в интересах которо</w:t>
            </w:r>
            <w:r>
              <w:t>й</w:t>
            </w:r>
            <w:r w:rsidRPr="004D1075">
              <w:t xml:space="preserve"> осуществляется закупка.</w:t>
            </w:r>
          </w:p>
        </w:tc>
      </w:tr>
      <w:tr w:rsidR="00941CEC" w:rsidTr="00B31E9C">
        <w:tc>
          <w:tcPr>
            <w:tcW w:w="3686" w:type="dxa"/>
          </w:tcPr>
          <w:p w:rsidR="00941CEC" w:rsidRPr="00941CEC" w:rsidRDefault="00941CEC" w:rsidP="00941CEC">
            <w:pPr>
              <w:pStyle w:val="2"/>
              <w:ind w:left="0"/>
              <w:jc w:val="left"/>
            </w:pPr>
            <w:r w:rsidRPr="004D1075">
              <w:rPr>
                <w:b/>
              </w:rPr>
              <w:t>Закупка</w:t>
            </w:r>
            <w:r>
              <w:rPr>
                <w:b/>
              </w:rPr>
              <w:t xml:space="preserve"> </w:t>
            </w:r>
          </w:p>
          <w:p w:rsidR="00941CEC" w:rsidRDefault="00941CEC" w:rsidP="00941CEC">
            <w:pPr>
              <w:pStyle w:val="2"/>
              <w:ind w:left="0"/>
              <w:jc w:val="left"/>
            </w:pPr>
            <w:r w:rsidRPr="00A53D61">
              <w:rPr>
                <w:b/>
              </w:rPr>
              <w:t>(закупочная процедура)</w:t>
            </w:r>
          </w:p>
        </w:tc>
        <w:tc>
          <w:tcPr>
            <w:tcW w:w="425" w:type="dxa"/>
          </w:tcPr>
          <w:p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941CEC" w:rsidRDefault="00941CEC" w:rsidP="00941CEC">
            <w:pPr>
              <w:pStyle w:val="2"/>
              <w:ind w:left="0"/>
            </w:pPr>
            <w:r w:rsidRPr="00977992">
              <w:t xml:space="preserve">последовательность действий, осуществляемая в соответствии </w:t>
            </w:r>
            <w:r>
              <w:t xml:space="preserve">с </w:t>
            </w:r>
            <w:r w:rsidRPr="00977992">
              <w:t xml:space="preserve">требованиями законодательства </w:t>
            </w:r>
            <w:r>
              <w:t>Российской Федерации</w:t>
            </w:r>
            <w:r w:rsidRPr="00977992">
              <w:t xml:space="preserve">, </w:t>
            </w:r>
            <w:r>
              <w:t xml:space="preserve">Единым Положением о закупке продукции для нужд Группы РусГидро, </w:t>
            </w:r>
            <w:r w:rsidRPr="00977992">
              <w:t xml:space="preserve">а также </w:t>
            </w:r>
            <w:r>
              <w:t xml:space="preserve">иными </w:t>
            </w:r>
            <w:r w:rsidRPr="00977992">
              <w:t xml:space="preserve">локальными нормативными </w:t>
            </w:r>
            <w:r>
              <w:t>документами (</w:t>
            </w:r>
            <w:r w:rsidRPr="00977992">
              <w:t>актами</w:t>
            </w:r>
            <w:r>
              <w:t>)</w:t>
            </w:r>
            <w:r w:rsidRPr="00977992">
              <w:t xml:space="preserve"> </w:t>
            </w:r>
            <w:r>
              <w:t>Заказчика</w:t>
            </w:r>
            <w:r w:rsidRPr="00977992">
              <w:t xml:space="preserve"> и правилами, установленными </w:t>
            </w:r>
            <w:r>
              <w:t>извещением и документацией о закупке</w:t>
            </w:r>
            <w:r w:rsidRPr="00977992">
              <w:t xml:space="preserve"> (при ее наличии), в результате которой производится выбор поставщика с целью заключения договора </w:t>
            </w:r>
            <w:r>
              <w:t xml:space="preserve">на </w:t>
            </w:r>
            <w:r w:rsidRPr="00977992">
              <w:t>приобретени</w:t>
            </w:r>
            <w:r>
              <w:t>е</w:t>
            </w:r>
            <w:r w:rsidRPr="00977992">
              <w:t xml:space="preserve"> продукции</w:t>
            </w:r>
            <w:r w:rsidRPr="004D1075">
              <w:t>.</w:t>
            </w:r>
          </w:p>
        </w:tc>
      </w:tr>
      <w:tr w:rsidR="00941CEC" w:rsidTr="00B31E9C">
        <w:tc>
          <w:tcPr>
            <w:tcW w:w="3686" w:type="dxa"/>
          </w:tcPr>
          <w:p w:rsidR="00941CEC" w:rsidRDefault="00941CEC" w:rsidP="00941CEC">
            <w:pPr>
              <w:pStyle w:val="2"/>
              <w:ind w:left="0"/>
            </w:pPr>
            <w:r w:rsidRPr="004D1075">
              <w:rPr>
                <w:b/>
              </w:rPr>
              <w:t>Заявка</w:t>
            </w:r>
          </w:p>
        </w:tc>
        <w:tc>
          <w:tcPr>
            <w:tcW w:w="425" w:type="dxa"/>
          </w:tcPr>
          <w:p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941CEC" w:rsidRDefault="00941CEC" w:rsidP="00941CEC">
            <w:pPr>
              <w:pStyle w:val="2"/>
              <w:ind w:left="0"/>
            </w:pPr>
            <w:r w:rsidRPr="00CB5DBA">
              <w:t xml:space="preserve">комплект документов, содержащий предложение (в том числе альтернативное предложение – при наличии) </w:t>
            </w:r>
            <w:r>
              <w:t>Участник</w:t>
            </w:r>
            <w:r w:rsidRPr="00CB5DBA">
              <w:t xml:space="preserve">а конкурентной закупки, направленный Организатору закупки с намерением принять участие в процедурах и впоследствии заключить договор на поставку продукции на условиях, определенных извещением </w:t>
            </w:r>
            <w:r>
              <w:t>и </w:t>
            </w:r>
            <w:r w:rsidRPr="00CB5DBA">
              <w:t>документацией о закупке</w:t>
            </w:r>
            <w:r>
              <w:t>.</w:t>
            </w:r>
          </w:p>
        </w:tc>
      </w:tr>
      <w:tr w:rsidR="00941CEC" w:rsidTr="00B31E9C">
        <w:tc>
          <w:tcPr>
            <w:tcW w:w="3686" w:type="dxa"/>
          </w:tcPr>
          <w:p w:rsidR="00941CEC" w:rsidRDefault="00941CEC" w:rsidP="00941CEC">
            <w:pPr>
              <w:pStyle w:val="2"/>
              <w:ind w:left="0"/>
            </w:pPr>
            <w:r>
              <w:rPr>
                <w:b/>
              </w:rPr>
              <w:t>Коллективный участник</w:t>
            </w:r>
          </w:p>
        </w:tc>
        <w:tc>
          <w:tcPr>
            <w:tcW w:w="425" w:type="dxa"/>
          </w:tcPr>
          <w:p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941CEC" w:rsidRDefault="00941CEC" w:rsidP="00941CEC">
            <w:pPr>
              <w:pStyle w:val="2"/>
              <w:ind w:left="0"/>
            </w:pPr>
            <w:r>
              <w:t>объединение юридических и</w:t>
            </w:r>
            <w:r w:rsidRPr="00666015">
              <w:t>/</w:t>
            </w:r>
            <w:r>
              <w:t>или физических лиц, в том числе индивидуальных предпринимателей</w:t>
            </w:r>
            <w:r w:rsidRPr="00BA04C6">
              <w:t>,</w:t>
            </w:r>
            <w:r>
              <w:t xml:space="preserve"> выступающих на стороне одного Участника и несущих солидарную ответственность по обязательствам, вытекающим из участия в закупке и дальнейшего заключения и исполнения договора.</w:t>
            </w:r>
          </w:p>
        </w:tc>
      </w:tr>
      <w:tr w:rsidR="00941CEC" w:rsidTr="00B31E9C">
        <w:tc>
          <w:tcPr>
            <w:tcW w:w="3686" w:type="dxa"/>
          </w:tcPr>
          <w:p w:rsidR="00941CEC" w:rsidRDefault="00B31E9C" w:rsidP="00941CEC">
            <w:pPr>
              <w:pStyle w:val="2"/>
              <w:ind w:left="0"/>
            </w:pPr>
            <w:r>
              <w:rPr>
                <w:b/>
              </w:rPr>
              <w:t>НМЦ</w:t>
            </w:r>
          </w:p>
        </w:tc>
        <w:tc>
          <w:tcPr>
            <w:tcW w:w="425" w:type="dxa"/>
          </w:tcPr>
          <w:p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941CEC" w:rsidRDefault="00B31E9C" w:rsidP="00941CEC">
            <w:pPr>
              <w:pStyle w:val="2"/>
              <w:ind w:left="0"/>
            </w:pPr>
            <w:r>
              <w:t xml:space="preserve">начальная (максимальная) цена договора (цена лота) – </w:t>
            </w:r>
            <w:r w:rsidRPr="00CB5DBA">
              <w:t xml:space="preserve">предельно допустимая цена договора (лота), выше размера которой не может быть заключен договор по итогам проведения закупки, если иное не установлено в извещении </w:t>
            </w:r>
            <w:r>
              <w:t>и </w:t>
            </w:r>
            <w:r w:rsidRPr="00CB5DBA">
              <w:t>документации о закупке</w:t>
            </w:r>
            <w:r>
              <w:t>.</w:t>
            </w:r>
          </w:p>
        </w:tc>
      </w:tr>
      <w:tr w:rsidR="00941CEC" w:rsidTr="00B31E9C">
        <w:tc>
          <w:tcPr>
            <w:tcW w:w="3686" w:type="dxa"/>
          </w:tcPr>
          <w:p w:rsidR="00941CEC" w:rsidRDefault="00B31E9C" w:rsidP="00941CEC">
            <w:pPr>
              <w:pStyle w:val="2"/>
              <w:ind w:left="0"/>
            </w:pPr>
            <w:r w:rsidRPr="004D1075">
              <w:rPr>
                <w:b/>
              </w:rPr>
              <w:t>Организатор закупки</w:t>
            </w:r>
          </w:p>
        </w:tc>
        <w:tc>
          <w:tcPr>
            <w:tcW w:w="425" w:type="dxa"/>
          </w:tcPr>
          <w:p w:rsidR="00941CEC" w:rsidRDefault="00941CE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941CEC" w:rsidRDefault="00B31E9C" w:rsidP="00941CEC">
            <w:pPr>
              <w:pStyle w:val="2"/>
              <w:ind w:left="0"/>
            </w:pPr>
            <w:r>
              <w:t>Заказчик</w:t>
            </w:r>
            <w:r w:rsidRPr="00CB5DBA">
              <w:t xml:space="preserve"> или действующее по договору с ним юридическое лицо, выступающ</w:t>
            </w:r>
            <w:r>
              <w:t>е</w:t>
            </w:r>
            <w:r w:rsidRPr="00CB5DBA">
              <w:t>е</w:t>
            </w:r>
            <w:r>
              <w:t xml:space="preserve"> Сторонним</w:t>
            </w:r>
            <w:r w:rsidRPr="00CB5DBA">
              <w:t xml:space="preserve"> </w:t>
            </w:r>
            <w:r>
              <w:t>о</w:t>
            </w:r>
            <w:r w:rsidRPr="00CB5DBA">
              <w:t>рганизатором закупки</w:t>
            </w:r>
            <w:r>
              <w:t>.</w:t>
            </w:r>
          </w:p>
        </w:tc>
      </w:tr>
      <w:tr w:rsidR="00941CEC" w:rsidTr="00B31E9C">
        <w:tc>
          <w:tcPr>
            <w:tcW w:w="3686" w:type="dxa"/>
          </w:tcPr>
          <w:p w:rsidR="00941CEC" w:rsidRDefault="00B31E9C" w:rsidP="001653A7">
            <w:pPr>
              <w:pStyle w:val="2"/>
              <w:ind w:left="0"/>
              <w:jc w:val="left"/>
            </w:pPr>
            <w:r w:rsidRPr="00CB5DBA">
              <w:rPr>
                <w:b/>
              </w:rPr>
              <w:t xml:space="preserve">Организации Группы </w:t>
            </w:r>
            <w:r w:rsidRPr="00CB5DBA">
              <w:rPr>
                <w:b/>
              </w:rPr>
              <w:lastRenderedPageBreak/>
              <w:t>РусГидро</w:t>
            </w:r>
          </w:p>
        </w:tc>
        <w:tc>
          <w:tcPr>
            <w:tcW w:w="425" w:type="dxa"/>
          </w:tcPr>
          <w:p w:rsidR="00941CEC" w:rsidRDefault="00941CEC" w:rsidP="00B31E9C">
            <w:pPr>
              <w:pStyle w:val="2"/>
              <w:ind w:left="0"/>
              <w:jc w:val="center"/>
            </w:pPr>
            <w:r w:rsidRPr="004D1075">
              <w:lastRenderedPageBreak/>
              <w:t>–</w:t>
            </w:r>
          </w:p>
        </w:tc>
        <w:tc>
          <w:tcPr>
            <w:tcW w:w="6237" w:type="dxa"/>
          </w:tcPr>
          <w:p w:rsidR="00941CEC" w:rsidRDefault="00B31E9C" w:rsidP="00941CEC">
            <w:pPr>
              <w:pStyle w:val="2"/>
              <w:ind w:left="0"/>
            </w:pPr>
            <w:r w:rsidRPr="00CB5DBA">
              <w:t xml:space="preserve">организации, в отношении которых </w:t>
            </w:r>
            <w:r>
              <w:t>ПАО </w:t>
            </w:r>
            <w:r w:rsidRPr="00CB5DBA">
              <w:t xml:space="preserve">«РусГидро» </w:t>
            </w:r>
            <w:r w:rsidRPr="00CB5DBA">
              <w:lastRenderedPageBreak/>
              <w:t>осуществляет полномочия управления в соответствии с действующим законодательством</w:t>
            </w:r>
            <w:r>
              <w:t xml:space="preserve"> Российской Федерации</w:t>
            </w:r>
            <w:r w:rsidRPr="00CB5DBA">
              <w:t xml:space="preserve"> и распорядительными документами </w:t>
            </w:r>
            <w:r>
              <w:t>ПАО </w:t>
            </w:r>
            <w:r w:rsidRPr="00CB5DBA">
              <w:t>«РусГидро»</w:t>
            </w:r>
            <w:r>
              <w:t>.</w:t>
            </w:r>
          </w:p>
        </w:tc>
      </w:tr>
      <w:tr w:rsidR="00B31E9C" w:rsidTr="00B31E9C">
        <w:tc>
          <w:tcPr>
            <w:tcW w:w="3686" w:type="dxa"/>
          </w:tcPr>
          <w:p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BC2813">
              <w:rPr>
                <w:b/>
              </w:rPr>
              <w:lastRenderedPageBreak/>
              <w:t>Поставщик</w:t>
            </w:r>
          </w:p>
        </w:tc>
        <w:tc>
          <w:tcPr>
            <w:tcW w:w="425" w:type="dxa"/>
          </w:tcPr>
          <w:p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B31E9C" w:rsidRPr="00CB5DBA" w:rsidRDefault="00B31E9C" w:rsidP="00B31E9C">
            <w:pPr>
              <w:pStyle w:val="2"/>
              <w:ind w:left="0"/>
            </w:pPr>
            <w:r w:rsidRPr="00977992">
              <w:t xml:space="preserve">любое юридическое или физическое лицо, а также объединение этих лиц, способное на законных основаниях поставить </w:t>
            </w:r>
            <w:r>
              <w:t>Заказчику</w:t>
            </w:r>
            <w:r w:rsidRPr="00977992">
              <w:t xml:space="preserve"> требуемую продукцию</w:t>
            </w:r>
            <w:r w:rsidRPr="00BC2813">
              <w:t>.</w:t>
            </w:r>
            <w:r w:rsidRPr="00BE0CD1">
              <w:t xml:space="preserve"> </w:t>
            </w:r>
            <w:r w:rsidRPr="00BA04C6">
              <w:t>Под поставщиком продукции при закупке работ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услуг понимается соответственно подрядчик</w:t>
            </w:r>
            <w:r>
              <w:t xml:space="preserve"> </w:t>
            </w:r>
            <w:r w:rsidRPr="00BA04C6">
              <w:t>/</w:t>
            </w:r>
            <w:r>
              <w:t xml:space="preserve"> </w:t>
            </w:r>
            <w:r w:rsidRPr="00BA04C6">
              <w:t>исполнитель.</w:t>
            </w:r>
          </w:p>
        </w:tc>
      </w:tr>
      <w:tr w:rsidR="00B31E9C" w:rsidTr="00B31E9C">
        <w:tc>
          <w:tcPr>
            <w:tcW w:w="3686" w:type="dxa"/>
          </w:tcPr>
          <w:p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CB5DBA">
              <w:rPr>
                <w:b/>
              </w:rPr>
              <w:t>ПО</w:t>
            </w:r>
            <w:r w:rsidRPr="00A155A5">
              <w:t xml:space="preserve"> </w:t>
            </w:r>
            <w:r>
              <w:t xml:space="preserve">  </w:t>
            </w:r>
          </w:p>
        </w:tc>
        <w:tc>
          <w:tcPr>
            <w:tcW w:w="425" w:type="dxa"/>
          </w:tcPr>
          <w:p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B31E9C" w:rsidRPr="00CB5DBA" w:rsidRDefault="00B31E9C" w:rsidP="00B31E9C">
            <w:pPr>
              <w:pStyle w:val="2"/>
              <w:ind w:left="0"/>
            </w:pPr>
            <w:r w:rsidRPr="00CB5DBA">
              <w:t>подконтрольное общество Заказчика</w:t>
            </w:r>
            <w:r>
              <w:t>.</w:t>
            </w:r>
          </w:p>
        </w:tc>
      </w:tr>
      <w:tr w:rsidR="00B31E9C" w:rsidTr="00B31E9C">
        <w:tc>
          <w:tcPr>
            <w:tcW w:w="3686" w:type="dxa"/>
          </w:tcPr>
          <w:p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Продукция</w:t>
            </w:r>
          </w:p>
        </w:tc>
        <w:tc>
          <w:tcPr>
            <w:tcW w:w="425" w:type="dxa"/>
          </w:tcPr>
          <w:p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B31E9C" w:rsidRPr="00CB5DBA" w:rsidRDefault="00B31E9C" w:rsidP="00B31E9C">
            <w:pPr>
              <w:pStyle w:val="2"/>
              <w:ind w:left="0"/>
            </w:pPr>
            <w:r w:rsidRPr="004D1075">
              <w:t xml:space="preserve">товары, работы, услуги, приобретаемые </w:t>
            </w:r>
            <w:r>
              <w:t>Заказчик</w:t>
            </w:r>
            <w:r w:rsidRPr="004D1075">
              <w:t>ом на возмездной основе.</w:t>
            </w:r>
            <w:r w:rsidRPr="00BE0CD1">
              <w:rPr>
                <w:bCs/>
                <w:iCs/>
              </w:rPr>
              <w:t xml:space="preserve"> </w:t>
            </w:r>
            <w:r w:rsidRPr="00BA04C6">
              <w:rPr>
                <w:bCs/>
                <w:iCs/>
              </w:rPr>
              <w:t xml:space="preserve">Под </w:t>
            </w:r>
            <w:r>
              <w:rPr>
                <w:bCs/>
                <w:iCs/>
              </w:rPr>
              <w:t>«</w:t>
            </w:r>
            <w:r w:rsidRPr="00BA04C6">
              <w:rPr>
                <w:bCs/>
                <w:iCs/>
              </w:rPr>
              <w:t>поставкой продукции</w:t>
            </w:r>
            <w:r>
              <w:rPr>
                <w:bCs/>
                <w:iCs/>
              </w:rPr>
              <w:t>»</w:t>
            </w:r>
            <w:r w:rsidRPr="00BA04C6">
              <w:rPr>
                <w:bCs/>
                <w:iCs/>
              </w:rPr>
              <w:t xml:space="preserve"> понимается поставка товаров / выполнение работ / оказание услуг.</w:t>
            </w:r>
          </w:p>
        </w:tc>
      </w:tr>
      <w:tr w:rsidR="00B31E9C" w:rsidTr="00B31E9C">
        <w:tc>
          <w:tcPr>
            <w:tcW w:w="3686" w:type="dxa"/>
          </w:tcPr>
          <w:p w:rsidR="00B31E9C" w:rsidRPr="00CB5DBA" w:rsidRDefault="00B31E9C" w:rsidP="001653A7">
            <w:pPr>
              <w:pStyle w:val="2"/>
              <w:ind w:left="0"/>
              <w:jc w:val="left"/>
              <w:rPr>
                <w:b/>
              </w:rPr>
            </w:pPr>
            <w:r>
              <w:rPr>
                <w:b/>
              </w:rPr>
              <w:t>Субъект малого и среднего предпринимательства (субъект МСП)</w:t>
            </w:r>
          </w:p>
        </w:tc>
        <w:tc>
          <w:tcPr>
            <w:tcW w:w="425" w:type="dxa"/>
          </w:tcPr>
          <w:p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B31E9C" w:rsidRPr="00CB5DBA" w:rsidRDefault="00B31E9C" w:rsidP="00B31E9C">
            <w:pPr>
              <w:pStyle w:val="2"/>
              <w:ind w:left="0"/>
            </w:pPr>
            <w:r>
              <w:t>с</w:t>
            </w:r>
            <w:r w:rsidRPr="008E7774">
              <w:t>убъект малого и среднего предпринимательства</w:t>
            </w:r>
            <w:r>
              <w:t>,</w:t>
            </w:r>
            <w:r w:rsidRPr="00CB5DBA">
              <w:rPr>
                <w:b/>
              </w:rPr>
              <w:t xml:space="preserve"> </w:t>
            </w:r>
            <w:r w:rsidRPr="00CB5DBA">
              <w:t>определяется в соответствии с Федеральным законом от 24.07.2007 №</w:t>
            </w:r>
            <w:r>
              <w:t> </w:t>
            </w:r>
            <w:r w:rsidRPr="00CB5DBA">
              <w:t>209-ФЗ «О развитии малого и среднего предпринимательства в Российской Федерации».</w:t>
            </w:r>
          </w:p>
        </w:tc>
      </w:tr>
      <w:tr w:rsidR="00B31E9C" w:rsidTr="00B31E9C">
        <w:tc>
          <w:tcPr>
            <w:tcW w:w="3686" w:type="dxa"/>
          </w:tcPr>
          <w:p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>
              <w:rPr>
                <w:b/>
              </w:rPr>
              <w:t>Участник</w:t>
            </w:r>
          </w:p>
        </w:tc>
        <w:tc>
          <w:tcPr>
            <w:tcW w:w="425" w:type="dxa"/>
          </w:tcPr>
          <w:p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B31E9C" w:rsidRPr="00CB5DBA" w:rsidRDefault="00B31E9C" w:rsidP="00B31E9C">
            <w:pPr>
              <w:pStyle w:val="2"/>
              <w:ind w:left="0"/>
            </w:pPr>
            <w:r w:rsidRPr="00CB5DBA">
              <w:rPr>
                <w:szCs w:val="22"/>
              </w:rPr>
              <w:t xml:space="preserve">любое юридическое лицо или несколько юридических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закупки, независимо от организационно-правовой формы, формы собственности, места нахождения и места происхождения капитала</w:t>
            </w:r>
            <w:r>
              <w:rPr>
                <w:szCs w:val="22"/>
              </w:rPr>
              <w:t>,</w:t>
            </w:r>
            <w:r w:rsidRPr="00CB5DBA">
              <w:rPr>
                <w:szCs w:val="22"/>
              </w:rPr>
              <w:t xml:space="preserve"> либо любое физическое лицо или несколько физических лиц,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 xml:space="preserve">а закупки, в том числе индивидуальный предприниматель или несколько индивидуальных предпринимателей, выступающих на стороне одного </w:t>
            </w:r>
            <w:r>
              <w:rPr>
                <w:szCs w:val="22"/>
              </w:rPr>
              <w:t>Участник</w:t>
            </w:r>
            <w:r w:rsidRPr="00CB5DBA">
              <w:rPr>
                <w:szCs w:val="22"/>
              </w:rPr>
              <w:t>а закупки</w:t>
            </w:r>
            <w:r w:rsidRPr="004D1075">
              <w:t>.</w:t>
            </w:r>
          </w:p>
        </w:tc>
      </w:tr>
      <w:tr w:rsidR="00B31E9C" w:rsidTr="00B31E9C">
        <w:tc>
          <w:tcPr>
            <w:tcW w:w="3686" w:type="dxa"/>
          </w:tcPr>
          <w:p w:rsidR="00B31E9C" w:rsidRPr="00CB5DBA" w:rsidRDefault="00B31E9C" w:rsidP="00B31E9C">
            <w:pPr>
              <w:pStyle w:val="2"/>
              <w:ind w:left="0"/>
              <w:rPr>
                <w:b/>
              </w:rPr>
            </w:pPr>
            <w:r w:rsidRPr="004D1075">
              <w:rPr>
                <w:b/>
              </w:rPr>
              <w:t>Эксперт</w:t>
            </w:r>
          </w:p>
        </w:tc>
        <w:tc>
          <w:tcPr>
            <w:tcW w:w="425" w:type="dxa"/>
          </w:tcPr>
          <w:p w:rsidR="00B31E9C" w:rsidRPr="004D1075" w:rsidRDefault="00B31E9C" w:rsidP="00B31E9C">
            <w:pPr>
              <w:pStyle w:val="2"/>
              <w:ind w:left="0"/>
              <w:jc w:val="center"/>
            </w:pPr>
            <w:r w:rsidRPr="004D1075">
              <w:t>–</w:t>
            </w:r>
          </w:p>
        </w:tc>
        <w:tc>
          <w:tcPr>
            <w:tcW w:w="6237" w:type="dxa"/>
          </w:tcPr>
          <w:p w:rsidR="00B31E9C" w:rsidRPr="00CB5DBA" w:rsidRDefault="00B31E9C" w:rsidP="00B31E9C">
            <w:pPr>
              <w:pStyle w:val="2"/>
              <w:ind w:left="0"/>
            </w:pPr>
            <w:r w:rsidRPr="004D1075">
              <w:t xml:space="preserve">беспристрастное лицо, обладающее </w:t>
            </w:r>
            <w:r w:rsidRPr="00CB5DBA">
              <w:t xml:space="preserve">в соответствующих областях специальными знаниями, достаточными для проведения оценки заявок по каким-либо отдельным критериям и определения соответствия </w:t>
            </w:r>
            <w:r>
              <w:t xml:space="preserve">заявок </w:t>
            </w:r>
            <w:r w:rsidRPr="00CB5DBA">
              <w:t>каким-либо отдельным требованиям</w:t>
            </w:r>
            <w:r>
              <w:t>,</w:t>
            </w:r>
            <w:r w:rsidRPr="00CB5DBA">
              <w:t xml:space="preserve"> и привлекаемое для этого</w:t>
            </w:r>
            <w:r>
              <w:t>.</w:t>
            </w:r>
          </w:p>
        </w:tc>
      </w:tr>
    </w:tbl>
    <w:p w:rsidR="00941CEC" w:rsidRPr="00941CEC" w:rsidRDefault="00941CEC" w:rsidP="00941CEC">
      <w:pPr>
        <w:pStyle w:val="2"/>
      </w:pPr>
    </w:p>
    <w:p w:rsidR="001E00BB" w:rsidRPr="00B453F3" w:rsidRDefault="00E26B3B" w:rsidP="00BA269F">
      <w:pPr>
        <w:pStyle w:val="1"/>
        <w:pageBreakBefore/>
      </w:pPr>
      <w:bookmarkStart w:id="2" w:name="_Toc25849110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25849111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34634F" w:rsidP="0065088F">
      <w:pPr>
        <w:pStyle w:val="111"/>
      </w:pPr>
      <w:r>
        <w:t>Единая м</w:t>
      </w:r>
      <w:r w:rsidRPr="00B12C30">
        <w:t xml:space="preserve">етодика </w:t>
      </w:r>
      <w:r w:rsidR="00741038" w:rsidRPr="00B12C30">
        <w:t xml:space="preserve">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 w:rsidR="00AA19EB">
        <w:t xml:space="preserve">(устойчивости) </w:t>
      </w:r>
      <w:r>
        <w:t>участник</w:t>
      </w:r>
      <w:r w:rsidRPr="00B12C30">
        <w:t xml:space="preserve">ов </w:t>
      </w:r>
      <w:r w:rsidR="00F1420D">
        <w:t>закупочных процедур, проводимых</w:t>
      </w:r>
      <w:r w:rsidR="00AA19EB">
        <w:t xml:space="preserve"> </w:t>
      </w:r>
      <w:r w:rsidR="00A0667C">
        <w:t xml:space="preserve">Группой </w:t>
      </w:r>
      <w:r w:rsidR="00AA19EB">
        <w:t>РусГидро</w:t>
      </w:r>
      <w:r w:rsidR="00741038" w:rsidRPr="00B12C30">
        <w:t xml:space="preserve"> (далее – методика</w:t>
      </w:r>
      <w:r w:rsidR="0065088F">
        <w:t>/</w:t>
      </w:r>
      <w:r w:rsidR="0065088F" w:rsidRPr="0065088F">
        <w:t>Методика ДРиФС</w:t>
      </w:r>
      <w:r w:rsidR="00741038" w:rsidRPr="00B12C30">
        <w:t>) разработана в целях реализации норм</w:t>
      </w:r>
      <w:r w:rsidR="00A16E08">
        <w:t xml:space="preserve"> </w:t>
      </w:r>
      <w:r w:rsidR="00357AF0">
        <w:t>Единого п</w:t>
      </w:r>
      <w:r w:rsidR="00357AF0" w:rsidRPr="00B12C30">
        <w:t xml:space="preserve">оложения </w:t>
      </w:r>
      <w:r w:rsidR="00741038" w:rsidRPr="00B12C30">
        <w:t xml:space="preserve">о закупке продукции для </w:t>
      </w:r>
      <w:r w:rsidR="00357AF0">
        <w:t xml:space="preserve">Группы </w:t>
      </w:r>
      <w:r w:rsidR="00CA6760">
        <w:t xml:space="preserve">РусГидро </w:t>
      </w:r>
      <w:r w:rsidR="00A16E08">
        <w:t xml:space="preserve">и локальных нормативных </w:t>
      </w:r>
      <w:r w:rsidR="00357AF0">
        <w:t>документов (</w:t>
      </w:r>
      <w:r w:rsidR="00A16E08">
        <w:t>актов</w:t>
      </w:r>
      <w:r w:rsidR="00357AF0">
        <w:t>)</w:t>
      </w:r>
      <w:r w:rsidR="00A16E08">
        <w:t>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 xml:space="preserve">порядка организации и проведения рассмотрения, оценки и сопоставления заявок </w:t>
      </w:r>
      <w:r w:rsidR="00421AA6">
        <w:t>у</w:t>
      </w:r>
      <w:r w:rsidR="00A04FF5">
        <w:t>частник</w:t>
      </w:r>
      <w:r w:rsidR="00A16E08">
        <w:t>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421AA6">
        <w:t>у</w:t>
      </w:r>
      <w:r w:rsidR="00A04FF5">
        <w:t>частник</w:t>
      </w:r>
      <w:r w:rsidR="00741038" w:rsidRPr="00B12C30">
        <w:t xml:space="preserve">ов при осуществлении экспертизы </w:t>
      </w:r>
      <w:r w:rsidR="00B96FD6" w:rsidRPr="00B12C30">
        <w:t xml:space="preserve">их </w:t>
      </w:r>
      <w:r w:rsidR="00741038" w:rsidRPr="00B12C30">
        <w:t>заявок</w:t>
      </w:r>
      <w:r w:rsidR="0095139E">
        <w:t>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</w:t>
      </w:r>
      <w:r w:rsidR="00357AF0">
        <w:t>Единым п</w:t>
      </w:r>
      <w:r w:rsidR="00357AF0" w:rsidRPr="00B12C30">
        <w:t xml:space="preserve">оложением </w:t>
      </w:r>
      <w:r w:rsidRPr="00B12C30">
        <w:t xml:space="preserve">о закупке продукции для нужд </w:t>
      </w:r>
      <w:r w:rsidR="00357AF0">
        <w:t xml:space="preserve">Группы </w:t>
      </w:r>
      <w:r w:rsidR="00CA6760">
        <w:t>РусГидро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2584911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2584911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="00A04FF5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>экспертами служб безопасности филиалов</w:t>
      </w:r>
      <w:r w:rsidR="00A0667C">
        <w:t>, экспертами служб</w:t>
      </w:r>
      <w:r w:rsidR="00BC1C17" w:rsidRPr="00B51C9E">
        <w:t xml:space="preserve"> </w:t>
      </w:r>
      <w:r w:rsidR="00A0667C">
        <w:t xml:space="preserve">безопасности ПО </w:t>
      </w:r>
      <w:r w:rsidR="00BC1C17" w:rsidRPr="00B51C9E">
        <w:t xml:space="preserve">или экспертами </w:t>
      </w:r>
      <w:r w:rsidR="001862B3" w:rsidRPr="00B51C9E">
        <w:t>сторонних организаций, действующими от имени ПАО</w:t>
      </w:r>
      <w:r w:rsidR="00651129">
        <w:t> </w:t>
      </w:r>
      <w:r w:rsidR="001862B3">
        <w:t>«РусГидро»</w:t>
      </w:r>
      <w:r w:rsidR="0065088F">
        <w:t xml:space="preserve"> или ПО</w:t>
      </w:r>
      <w:r w:rsidR="001862B3">
        <w:t xml:space="preserve"> (в случае заключения соответствующего договора</w:t>
      </w:r>
      <w:r w:rsidR="00226AB6">
        <w:t xml:space="preserve">, </w:t>
      </w:r>
      <w:r w:rsidR="00421AA6">
        <w:t xml:space="preserve">кроме закупок для нужд АО </w:t>
      </w:r>
      <w:r w:rsidR="00226AB6">
        <w:t>«</w:t>
      </w:r>
      <w:r w:rsidR="00421AA6">
        <w:t>РГС»),</w:t>
      </w:r>
      <w:r w:rsidR="001862B3">
        <w:t xml:space="preserve"> </w:t>
      </w:r>
      <w:r w:rsidR="009168FD">
        <w:t xml:space="preserve">в ходе проведения </w:t>
      </w:r>
      <w:r w:rsidR="009168FD" w:rsidRPr="009B50DB">
        <w:t>конкурентных</w:t>
      </w:r>
      <w:r w:rsidR="009168FD">
        <w:t xml:space="preserve">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</w:t>
      </w:r>
      <w:r w:rsidR="00A04FF5">
        <w:t>Участник</w:t>
      </w:r>
      <w:r w:rsidR="00B96FD6" w:rsidRPr="00B12C30">
        <w:t>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</w:t>
      </w:r>
      <w:r w:rsidR="00A04FF5">
        <w:t>Участник</w:t>
      </w:r>
      <w:r w:rsidR="00B96FD6" w:rsidRPr="00B12C30">
        <w:t>а</w:t>
      </w:r>
      <w:r w:rsidR="00513524" w:rsidRPr="00B12C30">
        <w:t>;</w:t>
      </w:r>
    </w:p>
    <w:p w:rsidR="002D291B" w:rsidRPr="00B12C30" w:rsidRDefault="002D291B" w:rsidP="00935D6E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A04FF5">
        <w:t>Участник</w:t>
      </w:r>
      <w:r w:rsidR="0037072D">
        <w:t>а</w:t>
      </w:r>
      <w:r w:rsidR="009168FD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</w:t>
      </w:r>
      <w:r w:rsidR="00E1317D">
        <w:rPr>
          <w:rStyle w:val="af2"/>
        </w:rPr>
        <w:footnoteReference w:id="2"/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</w:t>
      </w:r>
      <w:r w:rsidR="007F7F7E">
        <w:t xml:space="preserve"> документах Участника</w:t>
      </w:r>
      <w:r w:rsidRPr="00B12C30">
        <w:t>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</w:t>
      </w:r>
      <w:r w:rsidR="007F7F7E">
        <w:t xml:space="preserve"> Участника</w:t>
      </w:r>
      <w:r w:rsidR="000A7205" w:rsidRPr="00B12C30">
        <w:t>;</w:t>
      </w:r>
    </w:p>
    <w:p w:rsidR="002D291B" w:rsidRDefault="002D291B" w:rsidP="008E7774">
      <w:pPr>
        <w:pStyle w:val="a"/>
        <w:numPr>
          <w:ilvl w:val="3"/>
          <w:numId w:val="3"/>
        </w:numPr>
      </w:pPr>
      <w:r w:rsidRPr="00B12C30">
        <w:t xml:space="preserve">заполненных </w:t>
      </w:r>
      <w:r w:rsidR="00343E7C">
        <w:t xml:space="preserve">Участником </w:t>
      </w:r>
      <w:r w:rsidR="000A7205" w:rsidRPr="00B12C30">
        <w:t>типовых форм</w:t>
      </w:r>
      <w:r w:rsidR="00FD41AD">
        <w:t>ах в соответствии с</w:t>
      </w:r>
      <w:r w:rsidR="000A7205" w:rsidRPr="00B12C30">
        <w:t xml:space="preserve"> </w:t>
      </w:r>
      <w:r w:rsidRPr="00B12C30">
        <w:t>документаци</w:t>
      </w:r>
      <w:r w:rsidR="00FD41AD">
        <w:t>ей</w:t>
      </w:r>
      <w:r w:rsidRPr="00B12C30">
        <w:t xml:space="preserve"> о закупке</w:t>
      </w:r>
      <w:r w:rsidR="007F7F7E">
        <w:t>;</w:t>
      </w:r>
    </w:p>
    <w:p w:rsidR="0065088F" w:rsidRPr="00B12C30" w:rsidRDefault="0065088F" w:rsidP="008E7774">
      <w:pPr>
        <w:pStyle w:val="a"/>
        <w:numPr>
          <w:ilvl w:val="3"/>
          <w:numId w:val="3"/>
        </w:numPr>
      </w:pPr>
      <w:r>
        <w:t>иных документов Участника, представленных в составе заявки</w:t>
      </w:r>
      <w:r w:rsidRPr="0065088F">
        <w:t>.</w:t>
      </w:r>
    </w:p>
    <w:p w:rsidR="002D291B" w:rsidRPr="00B12C30" w:rsidRDefault="00E34958" w:rsidP="00C63CAC">
      <w:pPr>
        <w:pStyle w:val="11"/>
      </w:pPr>
      <w:bookmarkStart w:id="7" w:name="_Toc2584911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="00A04FF5">
        <w:t>Участник</w:t>
      </w:r>
      <w:r w:rsidRPr="00B12C30">
        <w:t>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r w:rsidR="003B432C">
        <w:fldChar w:fldCharType="begin"/>
      </w:r>
      <w:r w:rsidR="003B432C">
        <w:instrText xml:space="preserve"> REF _Ref456627933 \r \h  \* MERGEFORMAT </w:instrText>
      </w:r>
      <w:r w:rsidR="003B432C">
        <w:fldChar w:fldCharType="separate"/>
      </w:r>
      <w:r w:rsidR="002F6840">
        <w:t>2.4</w:t>
      </w:r>
      <w:r w:rsidR="003B432C">
        <w:fldChar w:fldCharType="end"/>
      </w:r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 xml:space="preserve">проверка </w:t>
      </w:r>
      <w:r w:rsidR="00A04FF5">
        <w:t>Участник</w:t>
      </w:r>
      <w:r w:rsidRPr="00B12C30">
        <w:t>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r w:rsidR="003B432C">
        <w:fldChar w:fldCharType="begin"/>
      </w:r>
      <w:r w:rsidR="003B432C">
        <w:instrText xml:space="preserve"> REF _Ref456627925 \r \h  \* MERGEFORMAT </w:instrText>
      </w:r>
      <w:r w:rsidR="003B432C">
        <w:fldChar w:fldCharType="separate"/>
      </w:r>
      <w:r w:rsidR="002F6840">
        <w:t>2.5</w:t>
      </w:r>
      <w:r w:rsidR="003B432C">
        <w:fldChar w:fldCharType="end"/>
      </w:r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</w:t>
      </w:r>
      <w:r w:rsidR="00A04FF5">
        <w:t>Участник</w:t>
      </w:r>
      <w:r w:rsidRPr="00B12C30">
        <w:t xml:space="preserve">а, в соответствии с </w:t>
      </w:r>
      <w:r w:rsidR="00610603">
        <w:t>пунктом</w:t>
      </w:r>
      <w:r w:rsidRPr="00B12C30">
        <w:t> </w:t>
      </w:r>
      <w:r w:rsidR="003B432C">
        <w:fldChar w:fldCharType="begin"/>
      </w:r>
      <w:r w:rsidR="003B432C">
        <w:instrText xml:space="preserve"> REF _Ref456627910 \r \h  \* MERGEFORMAT </w:instrText>
      </w:r>
      <w:r w:rsidR="003B432C">
        <w:fldChar w:fldCharType="separate"/>
      </w:r>
      <w:r w:rsidR="002F6840">
        <w:t>2.6</w:t>
      </w:r>
      <w:r w:rsidR="003B432C">
        <w:fldChar w:fldCharType="end"/>
      </w:r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</w:t>
      </w:r>
      <w:r w:rsidR="00561EF2">
        <w:t xml:space="preserve"> документами</w:t>
      </w:r>
      <w:r>
        <w:t xml:space="preserve"> </w:t>
      </w:r>
      <w:r w:rsidR="00561EF2">
        <w:t>(</w:t>
      </w:r>
      <w:r>
        <w:t>актами</w:t>
      </w:r>
      <w:r w:rsidR="00561EF2">
        <w:t>)</w:t>
      </w:r>
      <w:r>
        <w:t xml:space="preserve"> </w:t>
      </w:r>
      <w:r w:rsidR="00AE0225">
        <w:t>Заказчик</w:t>
      </w:r>
      <w:r>
        <w:t xml:space="preserve">а, касающимися порядка организации и проведения рассмотрения, оценки и сопоставления заявок </w:t>
      </w:r>
      <w:r w:rsidR="00737AD6">
        <w:t>у</w:t>
      </w:r>
      <w:r w:rsidR="00A04FF5">
        <w:t>частник</w:t>
      </w:r>
      <w:r>
        <w:t>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25849115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</w:t>
      </w:r>
      <w:r w:rsidR="00A04FF5">
        <w:t>Участник</w:t>
      </w:r>
      <w:r w:rsidR="00610603">
        <w:t xml:space="preserve">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r w:rsidR="003B432C">
        <w:fldChar w:fldCharType="begin"/>
      </w:r>
      <w:r w:rsidR="003B432C">
        <w:instrText xml:space="preserve"> REF _Ref456627958 \r \h  \* MERGEFORMAT </w:instrText>
      </w:r>
      <w:r w:rsidR="003B432C">
        <w:fldChar w:fldCharType="separate"/>
      </w:r>
      <w:r w:rsidR="002F6840">
        <w:t>2.4</w:t>
      </w:r>
      <w:r w:rsidR="003B432C">
        <w:fldChar w:fldCharType="end"/>
      </w:r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r w:rsidR="003B432C">
        <w:fldChar w:fldCharType="begin"/>
      </w:r>
      <w:r w:rsidR="003B432C">
        <w:instrText xml:space="preserve"> REF _Ref456627964 \r \h  \* MERGEFORMAT </w:instrText>
      </w:r>
      <w:r w:rsidR="003B432C">
        <w:fldChar w:fldCharType="separate"/>
      </w:r>
      <w:r w:rsidR="002F6840">
        <w:t>2.5</w:t>
      </w:r>
      <w:r w:rsidR="003B432C">
        <w:fldChar w:fldCharType="end"/>
      </w:r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25849116"/>
      <w:r w:rsidRPr="00B11020">
        <w:lastRenderedPageBreak/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</w:t>
      </w:r>
      <w:r w:rsidR="00A04FF5">
        <w:t>Участник</w:t>
      </w:r>
      <w:r w:rsidR="00E34958">
        <w:t>а устан</w:t>
      </w:r>
      <w:r w:rsidR="004D1F81">
        <w:t>авливаются</w:t>
      </w:r>
      <w:r w:rsidR="00E34958">
        <w:t xml:space="preserve"> следующие критерии отбора: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="00420AAD">
        <w:t>223</w:t>
      </w:r>
      <w:r w:rsidR="00420AAD">
        <w:noBreakHyphen/>
      </w:r>
      <w:r w:rsidRPr="00E34958">
        <w:t>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 xml:space="preserve">отсутствие сведений об </w:t>
      </w:r>
      <w:r w:rsidR="00A04FF5">
        <w:t>Участник</w:t>
      </w:r>
      <w:r>
        <w:t>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</w:t>
      </w:r>
      <w:r w:rsidR="00442C5C">
        <w:t>.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 xml:space="preserve">и заявок в отношении </w:t>
      </w:r>
      <w:r w:rsidR="00A04FF5">
        <w:t>Участник</w:t>
      </w:r>
      <w:r w:rsidR="00B96FD6">
        <w:t>а</w:t>
      </w:r>
      <w:r>
        <w:t xml:space="preserve"> фактов:</w:t>
      </w:r>
    </w:p>
    <w:p w:rsidR="00E34958" w:rsidRDefault="00561EF2" w:rsidP="00F2520A">
      <w:pPr>
        <w:pStyle w:val="a8"/>
        <w:numPr>
          <w:ilvl w:val="0"/>
          <w:numId w:val="14"/>
        </w:numPr>
        <w:ind w:left="1701" w:hanging="425"/>
      </w:pPr>
      <w:r w:rsidRPr="00561EF2">
        <w:t>введен</w:t>
      </w:r>
      <w:r>
        <w:t>ия</w:t>
      </w:r>
      <w:r w:rsidRPr="00561EF2">
        <w:t xml:space="preserve"> процедур (наблюдение, внешнее управлен</w:t>
      </w:r>
      <w:r w:rsidR="00C26748">
        <w:t>ие или конкурсное производство)</w:t>
      </w:r>
      <w:r w:rsidRPr="00561EF2">
        <w:t xml:space="preserve"> в соответствии с Федеральным законом от 26.</w:t>
      </w:r>
      <w:r w:rsidR="00C26748">
        <w:t>10.2002 № </w:t>
      </w:r>
      <w:r w:rsidR="00E67C12">
        <w:t>127</w:t>
      </w:r>
      <w:r w:rsidR="00E67C12">
        <w:noBreakHyphen/>
      </w:r>
      <w:r w:rsidRPr="00561EF2">
        <w:t>ФЗ «О несостоятельности (банкротстве)»</w:t>
      </w:r>
      <w:r w:rsidR="009B50DB">
        <w:t xml:space="preserve"> </w:t>
      </w:r>
      <w:r w:rsidR="0008271C">
        <w:t xml:space="preserve">– </w:t>
      </w:r>
      <w:r w:rsidR="00C52B49">
        <w:t xml:space="preserve">проверка </w:t>
      </w:r>
      <w:r w:rsidR="00C52B49" w:rsidRPr="00EE5615">
        <w:t>осуществляется</w:t>
      </w:r>
      <w:r w:rsidR="00146F70" w:rsidRPr="00146F70">
        <w:t xml:space="preserve"> </w:t>
      </w:r>
      <w:r w:rsidR="00146F70">
        <w:t>п</w:t>
      </w:r>
      <w:r w:rsidR="0008271C">
        <w:t xml:space="preserve">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</w:t>
      </w:r>
      <w:r w:rsidR="00E67C12">
        <w:t>й федеральный реестр сведений о </w:t>
      </w:r>
      <w:r w:rsidR="0008271C">
        <w:t>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C77842">
        <w:t>;</w:t>
      </w:r>
    </w:p>
    <w:p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</w:t>
      </w:r>
      <w:r w:rsidR="001F4310">
        <w:t>по базе</w:t>
      </w:r>
      <w:r w:rsidR="00954AB9">
        <w:t xml:space="preserve"> данных о государственной регистрации 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 w:rsidR="009278E6">
        <w:t>;</w:t>
      </w:r>
    </w:p>
    <w:p w:rsidR="00E34958" w:rsidRDefault="00E34958" w:rsidP="00F2520A">
      <w:pPr>
        <w:pStyle w:val="a8"/>
        <w:numPr>
          <w:ilvl w:val="0"/>
          <w:numId w:val="14"/>
        </w:numPr>
        <w:ind w:left="1701" w:hanging="425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>проверка осуществляется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70119A" w:rsidRDefault="001679EF" w:rsidP="006874A5">
      <w:pPr>
        <w:pStyle w:val="a"/>
        <w:numPr>
          <w:ilvl w:val="3"/>
          <w:numId w:val="4"/>
        </w:numPr>
      </w:pPr>
      <w:r w:rsidRPr="009307F1">
        <w:lastRenderedPageBreak/>
        <w:t xml:space="preserve">отсутствие единоличного исполнительного органа </w:t>
      </w:r>
      <w:r w:rsidR="006874A5">
        <w:t>и</w:t>
      </w:r>
      <w:r w:rsidR="006874A5" w:rsidRPr="009307F1">
        <w:t xml:space="preserve"> </w:t>
      </w:r>
      <w:r w:rsidRPr="009307F1">
        <w:t xml:space="preserve">главного бухгалтера </w:t>
      </w:r>
      <w:r w:rsidR="00A04FF5">
        <w:t>Участник</w:t>
      </w:r>
      <w:r w:rsidRPr="009307F1">
        <w:t xml:space="preserve">а </w:t>
      </w:r>
      <w:r w:rsidR="006874A5" w:rsidRPr="006874A5">
        <w:t>в реестре дисквалифицированных лиц, опубликованном</w:t>
      </w:r>
      <w:r w:rsidR="006874A5">
        <w:t xml:space="preserve"> на сайте </w:t>
      </w:r>
      <w:r w:rsidRPr="009307F1">
        <w:t>nalog.ru (портал «Федеральная налоговая служба»);</w:t>
      </w:r>
    </w:p>
    <w:p w:rsidR="00B87947" w:rsidRDefault="006874A5" w:rsidP="006874A5">
      <w:pPr>
        <w:pStyle w:val="a"/>
        <w:numPr>
          <w:ilvl w:val="3"/>
          <w:numId w:val="3"/>
        </w:numPr>
      </w:pPr>
      <w:r>
        <w:t>отсутствие и</w:t>
      </w:r>
      <w:r w:rsidRPr="006874A5">
        <w:t>нформаци</w:t>
      </w:r>
      <w:r>
        <w:t>и</w:t>
      </w:r>
      <w:r w:rsidRPr="006874A5">
        <w:t xml:space="preserve"> об Участнике в </w:t>
      </w:r>
      <w:r w:rsidR="003E28D7">
        <w:t>р</w:t>
      </w:r>
      <w:r w:rsidRPr="006874A5">
        <w:t xml:space="preserve">еестре юридических лиц, привлеченных к административной ответственности за незаконное вознаграждение за последние 3 </w:t>
      </w:r>
      <w:r w:rsidR="003E28D7">
        <w:t xml:space="preserve">(три) </w:t>
      </w:r>
      <w:r w:rsidRPr="006874A5">
        <w:t>года, опубликованном на сайте genproc.gov.ru</w:t>
      </w:r>
      <w:r w:rsidR="00430FE8">
        <w:t xml:space="preserve"> </w:t>
      </w:r>
      <w:r w:rsidR="00430FE8" w:rsidRPr="00CE5A19">
        <w:t>(портал «</w:t>
      </w:r>
      <w:r w:rsidR="00430FE8">
        <w:t>Генеральн</w:t>
      </w:r>
      <w:r w:rsidR="006B75AA">
        <w:t>ая</w:t>
      </w:r>
      <w:r w:rsidR="00430FE8">
        <w:t xml:space="preserve"> прокуратур</w:t>
      </w:r>
      <w:r w:rsidR="006B75AA">
        <w:t>а</w:t>
      </w:r>
      <w:r w:rsidR="00430FE8">
        <w:t xml:space="preserve"> </w:t>
      </w:r>
      <w:r w:rsidR="006B75AA">
        <w:t>Российской Федерации</w:t>
      </w:r>
      <w:r w:rsidR="00430FE8" w:rsidRPr="00CE5A19">
        <w:t>»</w:t>
      </w:r>
      <w:r w:rsidR="00430FE8">
        <w:t>);</w:t>
      </w:r>
    </w:p>
    <w:p w:rsidR="00C21357" w:rsidRPr="00C21357" w:rsidRDefault="00507D7F" w:rsidP="008E7774">
      <w:pPr>
        <w:pStyle w:val="a"/>
        <w:widowControl w:val="0"/>
        <w:numPr>
          <w:ilvl w:val="3"/>
          <w:numId w:val="3"/>
        </w:numPr>
        <w:tabs>
          <w:tab w:val="left" w:pos="1134"/>
        </w:tabs>
      </w:pPr>
      <w:bookmarkStart w:id="15" w:name="_Ref515979979"/>
      <w:r>
        <w:t>д</w:t>
      </w:r>
      <w:r w:rsidR="00C21357" w:rsidRPr="001E6EEE">
        <w:t>окументы, входящие в заявку, не должны содержать недостоверные сведения или намеренно искаженную информацию</w:t>
      </w:r>
      <w:r w:rsidR="00C21357">
        <w:t>, а также должны отсутствовать внутренние противоречия между различными частями</w:t>
      </w:r>
      <w:r w:rsidR="00C21357" w:rsidRPr="00775721">
        <w:t xml:space="preserve"> </w:t>
      </w:r>
      <w:r w:rsidR="00C21357">
        <w:t>и/или документами заявки</w:t>
      </w:r>
      <w:bookmarkEnd w:id="15"/>
      <w:r w:rsidR="00C21357">
        <w:t xml:space="preserve"> </w:t>
      </w:r>
      <w:r w:rsidR="006B75AA">
        <w:t xml:space="preserve">– </w:t>
      </w:r>
      <w:r w:rsidR="00C21357" w:rsidRPr="008E7774">
        <w:t>проверка осуществляется по документам заявки, сведениям и информации, указанной в заявке;</w:t>
      </w:r>
    </w:p>
    <w:p w:rsidR="00E148BE" w:rsidRPr="008E7774" w:rsidRDefault="00E148BE" w:rsidP="00D27510">
      <w:pPr>
        <w:pStyle w:val="a"/>
        <w:numPr>
          <w:ilvl w:val="3"/>
          <w:numId w:val="4"/>
        </w:numPr>
      </w:pPr>
      <w:r w:rsidRPr="008E7774">
        <w:t xml:space="preserve">отсутствие у </w:t>
      </w:r>
      <w:r w:rsidR="00A04FF5">
        <w:t>Участник</w:t>
      </w:r>
      <w:r w:rsidRPr="008E7774">
        <w:t xml:space="preserve">а кризисного финансового состояния – порядок определения финансового состояния </w:t>
      </w:r>
      <w:r w:rsidR="00A04FF5">
        <w:t>Участник</w:t>
      </w:r>
      <w:r w:rsidRPr="008E7774">
        <w:t xml:space="preserve">а установлен в </w:t>
      </w:r>
      <w:r w:rsidR="008F13AB" w:rsidRPr="008E7774">
        <w:t>пункте </w:t>
      </w:r>
      <w:r w:rsidR="003B432C">
        <w:fldChar w:fldCharType="begin"/>
      </w:r>
      <w:r w:rsidR="003B432C">
        <w:instrText xml:space="preserve"> REF _Ref456628031 \r \h  \* MERGEFORMAT </w:instrText>
      </w:r>
      <w:r w:rsidR="003B432C">
        <w:fldChar w:fldCharType="separate"/>
      </w:r>
      <w:r w:rsidR="002F6840">
        <w:t>2.6</w:t>
      </w:r>
      <w:r w:rsidR="003B432C">
        <w:fldChar w:fldCharType="end"/>
      </w:r>
      <w:r w:rsidR="008F13AB" w:rsidRPr="008E7774">
        <w:t xml:space="preserve"> настоящей методики</w:t>
      </w:r>
      <w:r w:rsidRPr="008E7774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6" w:name="_Ref456628115"/>
      <w:r w:rsidRPr="000E3801">
        <w:t xml:space="preserve">наличие у </w:t>
      </w:r>
      <w:r w:rsidR="00A04FF5">
        <w:t>Участник</w:t>
      </w:r>
      <w:r w:rsidRPr="000E3801">
        <w:rPr>
          <w:szCs w:val="26"/>
        </w:rPr>
        <w:t>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r w:rsidR="003B432C">
        <w:fldChar w:fldCharType="begin"/>
      </w:r>
      <w:r w:rsidR="003B432C">
        <w:instrText xml:space="preserve"> REF _Ref456627998 \r \h  \* MERGEFORMAT </w:instrText>
      </w:r>
      <w:r w:rsidR="003B432C">
        <w:fldChar w:fldCharType="separate"/>
      </w:r>
      <w:r w:rsidR="002F6840">
        <w:rPr>
          <w:szCs w:val="26"/>
        </w:rPr>
        <w:t>2.5</w:t>
      </w:r>
      <w:r w:rsidR="003B432C">
        <w:fldChar w:fldCharType="end"/>
      </w:r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12428D">
        <w:t> 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6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7" w:name="_Ref456627925"/>
      <w:bookmarkStart w:id="18" w:name="_Ref456627964"/>
      <w:bookmarkStart w:id="19" w:name="_Ref456627998"/>
      <w:bookmarkStart w:id="20" w:name="_Toc25849117"/>
      <w:r>
        <w:t>Ограничивающие факторы</w:t>
      </w:r>
      <w:bookmarkEnd w:id="17"/>
      <w:bookmarkEnd w:id="18"/>
      <w:bookmarkEnd w:id="19"/>
      <w:bookmarkEnd w:id="20"/>
    </w:p>
    <w:p w:rsidR="00C96E2F" w:rsidRDefault="00E849AF" w:rsidP="00C96E2F">
      <w:pPr>
        <w:pStyle w:val="111"/>
      </w:pPr>
      <w:bookmarkStart w:id="21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</w:t>
      </w:r>
      <w:r w:rsidR="00A04FF5">
        <w:t>Участник</w:t>
      </w:r>
      <w:r w:rsidR="00C96E2F">
        <w:t xml:space="preserve">а </w:t>
      </w:r>
      <w:r w:rsidR="004D1F81">
        <w:t>устанавливаются</w:t>
      </w:r>
      <w:r w:rsidR="00C96E2F">
        <w:t xml:space="preserve">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r w:rsidR="003B432C">
        <w:fldChar w:fldCharType="begin"/>
      </w:r>
      <w:r w:rsidR="003B432C">
        <w:instrText xml:space="preserve"> REF _Ref456628109 \r \h  \* MERGEFORMAT </w:instrText>
      </w:r>
      <w:r w:rsidR="003B432C">
        <w:fldChar w:fldCharType="separate"/>
      </w:r>
      <w:r w:rsidR="002F6840">
        <w:t>2.4.1</w:t>
      </w:r>
      <w:r w:rsidR="003B432C">
        <w:fldChar w:fldCharType="end"/>
      </w:r>
      <w:r w:rsidR="003B432C">
        <w:fldChar w:fldCharType="begin"/>
      </w:r>
      <w:r w:rsidR="003B432C">
        <w:instrText xml:space="preserve"> REF _Ref456628115 \</w:instrText>
      </w:r>
      <w:r w:rsidR="003B432C">
        <w:instrText xml:space="preserve">n \h  \* MERGEFORMAT </w:instrText>
      </w:r>
      <w:r w:rsidR="003B432C">
        <w:fldChar w:fldCharType="separate"/>
      </w:r>
      <w:r w:rsidR="002F6840">
        <w:t>(з)</w:t>
      </w:r>
      <w:r w:rsidR="003B432C">
        <w:fldChar w:fldCharType="end"/>
      </w:r>
      <w:r w:rsidR="008F13AB">
        <w:t xml:space="preserve"> настоящей методики</w:t>
      </w:r>
      <w:r w:rsidR="00C96E2F" w:rsidRPr="00B11020">
        <w:t>:</w:t>
      </w:r>
      <w:bookmarkEnd w:id="21"/>
    </w:p>
    <w:p w:rsidR="00383F43" w:rsidRPr="000E3801" w:rsidRDefault="00C96E2F" w:rsidP="003E4EE9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</w:t>
      </w:r>
      <w:r w:rsidR="003D3FD7" w:rsidRPr="00E94163">
        <w:rPr>
          <w:color w:val="000000" w:themeColor="text1"/>
          <w:szCs w:val="24"/>
        </w:rPr>
        <w:t xml:space="preserve">в отношении Участника </w:t>
      </w:r>
      <w:r w:rsidR="003D3FD7" w:rsidRPr="00E94163">
        <w:rPr>
          <w:szCs w:val="24"/>
        </w:rPr>
        <w:t xml:space="preserve">вступивших в законную силу в течение последнего года до дня окончания подачи заявок </w:t>
      </w:r>
      <w:r w:rsidRPr="00C96E2F">
        <w:t xml:space="preserve">судебных решений по искам третьих лиц </w:t>
      </w:r>
      <w:r w:rsidR="003D3FD7">
        <w:t>в связи</w:t>
      </w:r>
      <w:r w:rsidRPr="00C96E2F">
        <w:t xml:space="preserve"> с неисполнением </w:t>
      </w:r>
      <w:r>
        <w:t xml:space="preserve">и/или ненадлежащим исполнением </w:t>
      </w:r>
      <w:r w:rsidR="00A04FF5">
        <w:t>Участник</w:t>
      </w:r>
      <w:r w:rsidRPr="00C96E2F">
        <w:t>ом обязательств по договорам</w:t>
      </w:r>
      <w:r w:rsidR="006E4453" w:rsidRPr="000E3801">
        <w:t xml:space="preserve"> </w:t>
      </w:r>
      <w:r w:rsidR="00EE71FE" w:rsidRPr="00EE71FE">
        <w:t xml:space="preserve">на общую сумму </w:t>
      </w:r>
      <w:r w:rsidR="003D3FD7">
        <w:lastRenderedPageBreak/>
        <w:t xml:space="preserve">таких </w:t>
      </w:r>
      <w:r w:rsidR="00EE71FE" w:rsidRPr="00EE71FE">
        <w:t>обязательств, равную или превышающую 15% от НМЦ, установленной в документации о закупке</w:t>
      </w:r>
      <w:r w:rsidR="00383F43" w:rsidRPr="000E3801">
        <w:t xml:space="preserve"> </w:t>
      </w:r>
      <w:r w:rsidR="0019647B" w:rsidRPr="000E3801">
        <w:t xml:space="preserve">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EE71FE">
      <w:pPr>
        <w:pStyle w:val="a"/>
      </w:pPr>
      <w:r w:rsidRPr="000E3801">
        <w:t xml:space="preserve">наличие </w:t>
      </w:r>
      <w:r w:rsidR="003D3FD7" w:rsidRPr="000E3801">
        <w:t xml:space="preserve">в отношении </w:t>
      </w:r>
      <w:r w:rsidR="003D3FD7">
        <w:t>Участник</w:t>
      </w:r>
      <w:r w:rsidR="003D3FD7" w:rsidRPr="000E3801">
        <w:t xml:space="preserve">а </w:t>
      </w:r>
      <w:r w:rsidR="008D72C2" w:rsidRPr="00E94163">
        <w:rPr>
          <w:color w:val="000000" w:themeColor="text1"/>
          <w:szCs w:val="24"/>
        </w:rPr>
        <w:t xml:space="preserve">не оконченных (не прекращенных) </w:t>
      </w:r>
      <w:r w:rsidR="008D72C2" w:rsidRPr="000E3801">
        <w:t>на день окончания подачи заявок</w:t>
      </w:r>
      <w:r w:rsidR="008D72C2" w:rsidRPr="00E94163">
        <w:rPr>
          <w:color w:val="000000" w:themeColor="text1"/>
          <w:szCs w:val="24"/>
        </w:rPr>
        <w:t xml:space="preserve"> </w:t>
      </w:r>
      <w:r w:rsidR="003D3FD7" w:rsidRPr="00E94163">
        <w:rPr>
          <w:color w:val="000000" w:themeColor="text1"/>
          <w:szCs w:val="24"/>
        </w:rPr>
        <w:t>исполнительных производств</w:t>
      </w:r>
      <w:r w:rsidR="00650D0F" w:rsidRPr="000E3801">
        <w:t xml:space="preserve"> (</w:t>
      </w:r>
      <w:r w:rsidR="00E22DF6" w:rsidRPr="000E3801">
        <w:t>одного и более)</w:t>
      </w:r>
      <w:r w:rsidR="008D72C2">
        <w:t>,</w:t>
      </w:r>
      <w:r w:rsidRPr="000E3801">
        <w:t xml:space="preserve"> </w:t>
      </w:r>
      <w:r w:rsidR="008D72C2" w:rsidRPr="00E94163">
        <w:rPr>
          <w:color w:val="000000" w:themeColor="text1"/>
          <w:szCs w:val="24"/>
        </w:rPr>
        <w:t xml:space="preserve">общая сумма непогашенной задолженности по которым </w:t>
      </w:r>
      <w:r w:rsidR="008D72C2" w:rsidRPr="008D72C2">
        <w:rPr>
          <w:color w:val="000000" w:themeColor="text1"/>
          <w:szCs w:val="24"/>
        </w:rPr>
        <w:t>равна или превышает</w:t>
      </w:r>
      <w:r w:rsidR="008D72C2" w:rsidRPr="00336940">
        <w:rPr>
          <w:color w:val="000000" w:themeColor="text1"/>
          <w:szCs w:val="24"/>
        </w:rPr>
        <w:t xml:space="preserve"> </w:t>
      </w:r>
      <w:r w:rsidR="00EE71FE" w:rsidRPr="00EE71FE">
        <w:t>15% от НМЦ, установленной в документации о закупке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851621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color w:val="000000"/>
          <w:szCs w:val="24"/>
        </w:rPr>
        <w:t xml:space="preserve">записи в ЕГРЮЛ о недостоверности сведений об Участнике – проверка осуществляется по данным, размещенным в информационно-телекоммуникационной сети Интернет по адресу: nalog.ru (портал </w:t>
      </w:r>
      <w:r>
        <w:rPr>
          <w:color w:val="000000"/>
          <w:szCs w:val="24"/>
        </w:rPr>
        <w:t>«Федеральная налоговая служба»)</w:t>
      </w:r>
      <w:r w:rsidR="00F04FE2">
        <w:t>;</w:t>
      </w:r>
    </w:p>
    <w:p w:rsidR="008D72C2" w:rsidRPr="008D72C2" w:rsidRDefault="008D72C2" w:rsidP="00F15DE1">
      <w:pPr>
        <w:pStyle w:val="a"/>
      </w:pPr>
      <w:r w:rsidRPr="00E94163">
        <w:rPr>
          <w:szCs w:val="24"/>
        </w:rPr>
        <w:t xml:space="preserve">наличие </w:t>
      </w:r>
      <w:r w:rsidRPr="00E94163">
        <w:rPr>
          <w:color w:val="000000" w:themeColor="text1"/>
          <w:szCs w:val="24"/>
        </w:rPr>
        <w:t xml:space="preserve">на день окончания подачи заявок </w:t>
      </w:r>
      <w:r w:rsidRPr="00E94163">
        <w:rPr>
          <w:szCs w:val="24"/>
        </w:rPr>
        <w:t>решения уполномоченного государственного органа о приостановлении операций по банковск</w:t>
      </w:r>
      <w:r>
        <w:rPr>
          <w:szCs w:val="24"/>
        </w:rPr>
        <w:t>им</w:t>
      </w:r>
      <w:r w:rsidRPr="00E94163">
        <w:rPr>
          <w:szCs w:val="24"/>
        </w:rPr>
        <w:t xml:space="preserve"> счет</w:t>
      </w:r>
      <w:r>
        <w:rPr>
          <w:szCs w:val="24"/>
        </w:rPr>
        <w:t>ам</w:t>
      </w:r>
      <w:r w:rsidRPr="00E94163">
        <w:rPr>
          <w:szCs w:val="24"/>
        </w:rPr>
        <w:t xml:space="preserve"> Участника – проверка осуществляется по информационной базе сведений, расположенной в информационно-коммуникационной сети «Интернет» по адресу: nalog.ru (портал «Федеральная налоговая служба Российской Федерации»)</w:t>
      </w:r>
      <w:r>
        <w:rPr>
          <w:szCs w:val="24"/>
        </w:rPr>
        <w:t>;</w:t>
      </w:r>
    </w:p>
    <w:p w:rsidR="008D72C2" w:rsidRPr="00FF07DC" w:rsidRDefault="008D72C2" w:rsidP="00F15DE1">
      <w:pPr>
        <w:pStyle w:val="a"/>
      </w:pPr>
      <w:r w:rsidRPr="00E94163">
        <w:rPr>
          <w:color w:val="000000"/>
          <w:szCs w:val="24"/>
        </w:rPr>
        <w:t xml:space="preserve">наличие </w:t>
      </w:r>
      <w:r>
        <w:t xml:space="preserve">на </w:t>
      </w:r>
      <w:r w:rsidRPr="00E94163">
        <w:rPr>
          <w:color w:val="000000" w:themeColor="text1"/>
          <w:szCs w:val="24"/>
        </w:rPr>
        <w:t xml:space="preserve">день окончания подачи заявок </w:t>
      </w:r>
      <w:r>
        <w:rPr>
          <w:color w:val="000000" w:themeColor="text1"/>
          <w:szCs w:val="24"/>
        </w:rPr>
        <w:t>в</w:t>
      </w:r>
      <w:r w:rsidRPr="00E94163">
        <w:rPr>
          <w:color w:val="000000"/>
          <w:szCs w:val="24"/>
        </w:rPr>
        <w:t>ынесенного Арбитражным судом определения о принятии к рассмотрению заяв</w:t>
      </w:r>
      <w:r w:rsidR="00EB7437">
        <w:rPr>
          <w:color w:val="000000"/>
          <w:szCs w:val="24"/>
        </w:rPr>
        <w:t xml:space="preserve">ления о банкротстве Участника – </w:t>
      </w:r>
      <w:r w:rsidRPr="00E94163">
        <w:rPr>
          <w:color w:val="000000"/>
          <w:szCs w:val="24"/>
        </w:rPr>
        <w:t>проверка осуществляется по базе решений арбитражных судов, расположенной в информационно-телекоммуникационной сети Интернет по адресу: arbitr.ru (портал «Федеральные арбитражные суды Российской Федерации»);</w:t>
      </w:r>
    </w:p>
    <w:p w:rsidR="00F12B56" w:rsidRPr="000E3801" w:rsidRDefault="00C96E2F" w:rsidP="00D42E1D">
      <w:pPr>
        <w:pStyle w:val="a"/>
      </w:pPr>
      <w:r w:rsidRPr="00B11020">
        <w:t xml:space="preserve">наличие у </w:t>
      </w:r>
      <w:r w:rsidR="00A04FF5">
        <w:t>Участник</w:t>
      </w:r>
      <w:r w:rsidRPr="000E3801">
        <w:t xml:space="preserve">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</w:t>
      </w:r>
      <w:r w:rsidR="00A04FF5">
        <w:t>Участник</w:t>
      </w:r>
      <w:r w:rsidRPr="000E3801">
        <w:t xml:space="preserve">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r w:rsidR="003B432C">
        <w:fldChar w:fldCharType="begin"/>
      </w:r>
      <w:r w:rsidR="003B432C">
        <w:instrText xml:space="preserve"> REF _Ref456628031 \r \h  \* MERGEFORMAT </w:instrText>
      </w:r>
      <w:r w:rsidR="003B432C">
        <w:fldChar w:fldCharType="separate"/>
      </w:r>
      <w:r w:rsidR="002F6840">
        <w:t>2.6</w:t>
      </w:r>
      <w:r w:rsidR="003B432C">
        <w:fldChar w:fldCharType="end"/>
      </w:r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2" w:name="_Toc469414179"/>
      <w:bookmarkStart w:id="23" w:name="_Toc469414180"/>
      <w:bookmarkStart w:id="24" w:name="_Ref456627910"/>
      <w:bookmarkStart w:id="25" w:name="_Ref456628031"/>
      <w:bookmarkStart w:id="26" w:name="_Ref456628948"/>
      <w:bookmarkStart w:id="27" w:name="_Toc25849118"/>
      <w:bookmarkEnd w:id="22"/>
      <w:bookmarkEnd w:id="23"/>
      <w:r w:rsidRPr="000E3801"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4"/>
      <w:bookmarkEnd w:id="25"/>
      <w:bookmarkEnd w:id="26"/>
      <w:r w:rsidR="00B27F5E">
        <w:t>)</w:t>
      </w:r>
      <w:bookmarkEnd w:id="27"/>
    </w:p>
    <w:p w:rsidR="00AE1E95" w:rsidRPr="000E3801" w:rsidRDefault="00AE1E95" w:rsidP="00513524">
      <w:pPr>
        <w:pStyle w:val="111"/>
        <w:keepNext/>
      </w:pPr>
      <w:bookmarkStart w:id="28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</w:t>
      </w:r>
      <w:r w:rsidR="00FA71DC">
        <w:t xml:space="preserve">Участника </w:t>
      </w:r>
      <w:r w:rsidRPr="000E3801">
        <w:t>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</w:t>
      </w:r>
      <w:r w:rsidR="00FA71DC">
        <w:t xml:space="preserve"> </w:t>
      </w:r>
      <w:r w:rsidR="00FA71DC">
        <w:lastRenderedPageBreak/>
        <w:t>представленные Участником в составе заявки в соответствии с требованиями документации о закупке,</w:t>
      </w:r>
      <w:r w:rsidRPr="000E3801">
        <w:t xml:space="preserve"> а именно:</w:t>
      </w:r>
      <w:bookmarkEnd w:id="28"/>
    </w:p>
    <w:p w:rsidR="00AE1E95" w:rsidRPr="000E3801" w:rsidRDefault="00AE1E95" w:rsidP="001E485A">
      <w:pPr>
        <w:pStyle w:val="a"/>
        <w:numPr>
          <w:ilvl w:val="3"/>
          <w:numId w:val="9"/>
        </w:numPr>
      </w:pPr>
      <w:bookmarkStart w:id="29" w:name="_Ref1051966"/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  <w:bookmarkEnd w:id="29"/>
    </w:p>
    <w:p w:rsidR="008762B7" w:rsidRPr="000E3801" w:rsidRDefault="00BC3C34" w:rsidP="00F072D2">
      <w:pPr>
        <w:ind w:firstLine="1134"/>
      </w:pPr>
      <w:r>
        <w:t>и (</w:t>
      </w:r>
      <w:r w:rsidR="008762B7" w:rsidRPr="000E3801">
        <w:t>или</w:t>
      </w:r>
      <w:r>
        <w:t>)</w:t>
      </w:r>
    </w:p>
    <w:p w:rsidR="008762B7" w:rsidRPr="000E3801" w:rsidRDefault="008762B7" w:rsidP="001E485A">
      <w:pPr>
        <w:pStyle w:val="a"/>
        <w:numPr>
          <w:ilvl w:val="3"/>
          <w:numId w:val="9"/>
        </w:numPr>
      </w:pPr>
      <w:bookmarkStart w:id="30" w:name="_Ref471907993"/>
      <w:r w:rsidRPr="000E3801">
        <w:t>данные</w:t>
      </w:r>
      <w:r w:rsidR="00FA71DC">
        <w:t xml:space="preserve"> бухгалтерской (финансовой</w:t>
      </w:r>
      <w:r w:rsidR="00A12E9B">
        <w:t>)</w:t>
      </w:r>
      <w:r w:rsidR="00FA71DC">
        <w:t xml:space="preserve"> отчетности по форме</w:t>
      </w:r>
      <w:r w:rsidR="00C629AC">
        <w:t>,</w:t>
      </w:r>
      <w:r w:rsidRPr="000E3801">
        <w:t xml:space="preserve"> </w:t>
      </w:r>
      <w:r w:rsidR="00FA71DC">
        <w:t>установленной</w:t>
      </w:r>
      <w:r w:rsidR="000B30C4" w:rsidRPr="000E3801">
        <w:t xml:space="preserve"> в документации о закупке</w:t>
      </w:r>
      <w:r w:rsidRPr="000E3801">
        <w:t xml:space="preserve"> </w:t>
      </w:r>
      <w:bookmarkEnd w:id="30"/>
      <w:r w:rsidR="00FA71DC">
        <w:t>(случаи пред</w:t>
      </w:r>
      <w:r w:rsidR="000B30C4" w:rsidRPr="000E3801">
        <w:t xml:space="preserve">ставления таких данных определены в </w:t>
      </w:r>
      <w:r w:rsidR="001955DA">
        <w:t>документации о закупке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31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31"/>
    </w:p>
    <w:p w:rsidR="00097A60" w:rsidRDefault="00097A60" w:rsidP="00F2520A">
      <w:pPr>
        <w:pStyle w:val="a"/>
        <w:numPr>
          <w:ilvl w:val="3"/>
          <w:numId w:val="11"/>
        </w:numPr>
      </w:pPr>
      <w:r>
        <w:t xml:space="preserve">для участников, предоставлявших </w:t>
      </w:r>
      <w:r w:rsidR="000032E3">
        <w:t>на момент</w:t>
      </w:r>
      <w:r w:rsidR="00D42E1D">
        <w:t xml:space="preserve"> </w:t>
      </w:r>
      <w:r w:rsidR="000032E3"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2"/>
        </w:rPr>
        <w:footnoteReference w:id="3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 xml:space="preserve">в случае наличия у </w:t>
      </w:r>
      <w:r w:rsidR="00A04FF5">
        <w:t>Участник</w:t>
      </w:r>
      <w:r w:rsidR="000032E3" w:rsidRPr="00EF3921">
        <w:t>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 xml:space="preserve">, содержащимся в представленной </w:t>
      </w:r>
      <w:r w:rsidR="00A20406">
        <w:t xml:space="preserve">в соответствии с п. </w:t>
      </w:r>
      <w:r w:rsidR="002A5164">
        <w:fldChar w:fldCharType="begin"/>
      </w:r>
      <w:r w:rsidR="00A20406">
        <w:instrText xml:space="preserve"> REF _Ref471907991 \r \h </w:instrText>
      </w:r>
      <w:r w:rsidR="002A5164">
        <w:fldChar w:fldCharType="separate"/>
      </w:r>
      <w:r w:rsidR="002F6840">
        <w:t>2.6.1</w:t>
      </w:r>
      <w:r w:rsidR="002A5164">
        <w:fldChar w:fldCharType="end"/>
      </w:r>
      <w:r w:rsidR="00A20406">
        <w:t xml:space="preserve"> методики </w:t>
      </w:r>
      <w:r w:rsidR="00DB39A7">
        <w:t>бухгалтерской (финансовой) отчетности</w:t>
      </w:r>
      <w:r w:rsidR="00154B32">
        <w:t>:</w:t>
      </w:r>
    </w:p>
    <w:p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Pr="00D21CED" w:rsidRDefault="003E33DD" w:rsidP="00F2520A">
      <w:pPr>
        <w:pStyle w:val="a8"/>
        <w:numPr>
          <w:ilvl w:val="0"/>
          <w:numId w:val="13"/>
        </w:numPr>
        <w:ind w:left="1701" w:firstLine="0"/>
      </w:pPr>
      <w:r w:rsidRPr="00D21CED"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F2520A">
      <w:pPr>
        <w:pStyle w:val="a"/>
        <w:numPr>
          <w:ilvl w:val="3"/>
          <w:numId w:val="11"/>
        </w:numPr>
      </w:pPr>
      <w:r>
        <w:t>для участников, предоставлявших на момент</w:t>
      </w:r>
      <w:r w:rsidR="00D42E1D">
        <w:t xml:space="preserve"> </w:t>
      </w:r>
      <w:r>
        <w:t xml:space="preserve">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</w:t>
      </w:r>
      <w:r>
        <w:lastRenderedPageBreak/>
        <w:t xml:space="preserve">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 xml:space="preserve">в случае наличия у </w:t>
      </w:r>
      <w:r w:rsidR="00A04FF5">
        <w:t>Участник</w:t>
      </w:r>
      <w:r w:rsidRPr="00F65F12">
        <w:t>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представленной </w:t>
      </w:r>
      <w:r w:rsidR="00A20406">
        <w:t xml:space="preserve">в соответствии с п. </w:t>
      </w:r>
      <w:r w:rsidR="002A5164">
        <w:fldChar w:fldCharType="begin"/>
      </w:r>
      <w:r w:rsidR="00A20406">
        <w:instrText xml:space="preserve"> REF _Ref471907991 \r \h </w:instrText>
      </w:r>
      <w:r w:rsidR="002A5164">
        <w:fldChar w:fldCharType="separate"/>
      </w:r>
      <w:r w:rsidR="002F6840">
        <w:t>2.6.1</w:t>
      </w:r>
      <w:r w:rsidR="002A5164">
        <w:fldChar w:fldCharType="end"/>
      </w:r>
      <w:r w:rsidR="00A20406">
        <w:t xml:space="preserve"> методики </w:t>
      </w:r>
      <w:r w:rsidR="006A36AB">
        <w:t xml:space="preserve">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F2520A">
      <w:pPr>
        <w:pStyle w:val="a"/>
        <w:numPr>
          <w:ilvl w:val="3"/>
          <w:numId w:val="11"/>
        </w:numPr>
      </w:pPr>
      <w:bookmarkStart w:id="32" w:name="_Ref2343732"/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представленной </w:t>
      </w:r>
      <w:r w:rsidR="00A20406">
        <w:t xml:space="preserve">в соответствии с п. </w:t>
      </w:r>
      <w:r w:rsidR="002A5164">
        <w:fldChar w:fldCharType="begin"/>
      </w:r>
      <w:r w:rsidR="00A20406">
        <w:instrText xml:space="preserve"> REF _Ref471907991 \r \h </w:instrText>
      </w:r>
      <w:r w:rsidR="002A5164">
        <w:fldChar w:fldCharType="separate"/>
      </w:r>
      <w:r w:rsidR="002F6840">
        <w:t>2.6.1</w:t>
      </w:r>
      <w:r w:rsidR="002A5164">
        <w:fldChar w:fldCharType="end"/>
      </w:r>
      <w:r w:rsidR="00A20406">
        <w:t xml:space="preserve"> методики </w:t>
      </w:r>
      <w:r>
        <w:t>бухгалтерской (финансовой) отчетности;</w:t>
      </w:r>
      <w:bookmarkEnd w:id="32"/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3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3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</w:t>
      </w:r>
      <w:r w:rsidR="00A04FF5">
        <w:t>Участник</w:t>
      </w:r>
      <w:r w:rsidR="00513524">
        <w:t xml:space="preserve">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2A5164">
        <w:fldChar w:fldCharType="begin"/>
      </w:r>
      <w:r w:rsidR="00F04A4A">
        <w:instrText xml:space="preserve"> REF _Ref471818978 \r \h </w:instrText>
      </w:r>
      <w:r w:rsidR="002A5164">
        <w:fldChar w:fldCharType="separate"/>
      </w:r>
      <w:r w:rsidR="002F6840">
        <w:t>2.7</w:t>
      </w:r>
      <w:r w:rsidR="002A5164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3B432C">
        <w:fldChar w:fldCharType="begin"/>
      </w:r>
      <w:r w:rsidR="003B432C">
        <w:instrText xml:space="preserve"> REF _Ref456627779 \r \h  \* MERGEFORMAT </w:instrText>
      </w:r>
      <w:r w:rsidR="003B432C">
        <w:fldChar w:fldCharType="separate"/>
      </w:r>
      <w:r w:rsidR="002F6840">
        <w:t>2.8</w:t>
      </w:r>
      <w:r w:rsidR="003B432C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3B432C">
        <w:fldChar w:fldCharType="begin"/>
      </w:r>
      <w:r w:rsidR="003B432C">
        <w:instrText xml:space="preserve"> REF _Ref456627785 \r \h  \* MERGEFORMAT </w:instrText>
      </w:r>
      <w:r w:rsidR="003B432C">
        <w:fldChar w:fldCharType="separate"/>
      </w:r>
      <w:r w:rsidR="002F6840">
        <w:t>2.9</w:t>
      </w:r>
      <w:r w:rsidR="003B432C">
        <w:fldChar w:fldCharType="end"/>
      </w:r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r w:rsidR="003B432C">
        <w:fldChar w:fldCharType="begin"/>
      </w:r>
      <w:r w:rsidR="003B432C">
        <w:instrText xml:space="preserve"> REF _Ref456627798 \r \h  \* MERGEFORMAT </w:instrText>
      </w:r>
      <w:r w:rsidR="003B432C">
        <w:fldChar w:fldCharType="separate"/>
      </w:r>
      <w:r w:rsidR="002F6840">
        <w:t>2.9.3</w:t>
      </w:r>
      <w:r w:rsidR="003B432C">
        <w:fldChar w:fldCharType="end"/>
      </w:r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r w:rsidR="003B432C">
        <w:fldChar w:fldCharType="begin"/>
      </w:r>
      <w:r w:rsidR="003B432C">
        <w:instrText xml:space="preserve"> REF _Ref456627805 \r \h  \* MERGEFORMAT </w:instrText>
      </w:r>
      <w:r w:rsidR="003B432C">
        <w:fldChar w:fldCharType="separate"/>
      </w:r>
      <w:r w:rsidR="002F6840">
        <w:t>2.10.2</w:t>
      </w:r>
      <w:r w:rsidR="003B432C">
        <w:fldChar w:fldCharType="end"/>
      </w:r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lastRenderedPageBreak/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3B432C">
        <w:fldChar w:fldCharType="begin"/>
      </w:r>
      <w:r w:rsidR="003B432C">
        <w:instrText xml:space="preserve"> REF _Ref456627813 \r \h  \* MERGEFORMAT </w:instrText>
      </w:r>
      <w:r w:rsidR="003B432C">
        <w:fldChar w:fldCharType="separate"/>
      </w:r>
      <w:r w:rsidR="002F6840">
        <w:t>2.11.2</w:t>
      </w:r>
      <w:r w:rsidR="003B432C">
        <w:fldChar w:fldCharType="end"/>
      </w:r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2A5164">
        <w:fldChar w:fldCharType="begin"/>
      </w:r>
      <w:r w:rsidR="00AF5F29">
        <w:instrText xml:space="preserve"> REF _Ref466276214 \r \h </w:instrText>
      </w:r>
      <w:r w:rsidR="002A5164">
        <w:fldChar w:fldCharType="separate"/>
      </w:r>
      <w:r w:rsidR="002F6840">
        <w:t>2.13</w:t>
      </w:r>
      <w:r w:rsidR="002A5164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3B432C">
        <w:fldChar w:fldCharType="begin"/>
      </w:r>
      <w:r w:rsidR="003B432C">
        <w:instrText xml:space="preserve"> REF _Ref456627826 \r \h  \* MERGEFORMAT </w:instrText>
      </w:r>
      <w:r w:rsidR="003B432C">
        <w:fldChar w:fldCharType="separate"/>
      </w:r>
      <w:r w:rsidR="002F6840">
        <w:t>2.13.2</w:t>
      </w:r>
      <w:r w:rsidR="003B432C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4" w:name="_Ref456629415"/>
      <w:r w:rsidRPr="00617934">
        <w:t xml:space="preserve">показатели, характеризующие соответствие масштабов деятельности </w:t>
      </w:r>
      <w:r w:rsidR="00A04FF5">
        <w:t>Участник</w:t>
      </w:r>
      <w:r w:rsidRPr="00617934">
        <w:t>а:</w:t>
      </w:r>
      <w:bookmarkEnd w:id="34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</w:t>
      </w:r>
      <w:r w:rsidR="00A04FF5">
        <w:t>Участник</w:t>
      </w:r>
      <w:r w:rsidR="000C4E70" w:rsidRPr="00617934">
        <w:t xml:space="preserve">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3B432C">
        <w:fldChar w:fldCharType="begin"/>
      </w:r>
      <w:r w:rsidR="003B432C">
        <w:instrText xml:space="preserve"> REF _Ref456627836 \r \h  \* MERGEFORMAT </w:instrText>
      </w:r>
      <w:r w:rsidR="003B432C">
        <w:fldChar w:fldCharType="separate"/>
      </w:r>
      <w:r w:rsidR="002F6840">
        <w:t>2.15</w:t>
      </w:r>
      <w:r w:rsidR="003B432C">
        <w:fldChar w:fldCharType="end"/>
      </w:r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</w:t>
      </w:r>
      <w:r w:rsidR="00A04FF5">
        <w:t>Участник</w:t>
      </w:r>
      <w:r w:rsidRPr="00617934">
        <w:t xml:space="preserve">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r w:rsidR="003B432C">
        <w:fldChar w:fldCharType="begin"/>
      </w:r>
      <w:r w:rsidR="003B432C">
        <w:instrText xml:space="preserve"> REF _Ref456627844 \r \h  \* MERGEFORMAT </w:instrText>
      </w:r>
      <w:r w:rsidR="003B432C">
        <w:fldChar w:fldCharType="separate"/>
      </w:r>
      <w:r w:rsidR="002F6840">
        <w:t>2.16</w:t>
      </w:r>
      <w:r w:rsidR="003B432C">
        <w:fldChar w:fldCharType="end"/>
      </w:r>
      <w:r w:rsidR="00403589">
        <w:t xml:space="preserve"> настоящей методики</w:t>
      </w:r>
      <w:r w:rsidRPr="00617934">
        <w:t>.</w:t>
      </w:r>
    </w:p>
    <w:p w:rsidR="00B33746" w:rsidRDefault="00B33746" w:rsidP="00B33746">
      <w:pPr>
        <w:pStyle w:val="111"/>
      </w:pPr>
      <w:bookmarkStart w:id="35" w:name="_Ref469654191"/>
      <w:r w:rsidRPr="00B33746">
        <w:t xml:space="preserve">В случае, если показатели «Прибыль до налогообложения», «Капитал и резервы», «Собственный капитал» и другие (за исключением показателя </w:t>
      </w:r>
      <w:r w:rsidR="004C1633">
        <w:t>«</w:t>
      </w:r>
      <w:r w:rsidRPr="00B33746">
        <w:t>Процент к уплате</w:t>
      </w:r>
      <w:r w:rsidR="004C1633">
        <w:t>»</w:t>
      </w:r>
      <w:r w:rsidRPr="00B33746">
        <w:t>) указаны в бухгалтерском балансе в круглых скобках, то для целей расчета они принимаются как показатели с отрицательным значением (в соответствии с Приложением 1 к Приказу Минфина России от 02.07.2010 № 66н).</w:t>
      </w:r>
    </w:p>
    <w:p w:rsidR="00A1147D" w:rsidRDefault="009E0782" w:rsidP="009E0782">
      <w:pPr>
        <w:pStyle w:val="111"/>
        <w:keepNext/>
      </w:pPr>
      <w:bookmarkStart w:id="36" w:name="_Ref4601828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</w:t>
      </w:r>
      <w:r w:rsidR="005846F5">
        <w:rPr>
          <w:rStyle w:val="af2"/>
        </w:rPr>
        <w:footnoteReference w:id="4"/>
      </w:r>
      <w:r w:rsidR="00A1147D">
        <w:t xml:space="preserve">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5"/>
      <w:bookmarkEnd w:id="36"/>
    </w:p>
    <w:p w:rsidR="00A1147D" w:rsidRDefault="00A1147D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1</w:t>
      </w:r>
      <w:r w:rsidR="002A5164">
        <w:rPr>
          <w:noProof/>
        </w:rPr>
        <w:fldChar w:fldCharType="end"/>
      </w:r>
    </w:p>
    <w:p w:rsidR="00A1147D" w:rsidRPr="00723E9B" w:rsidRDefault="003B432C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где</w:t>
      </w:r>
      <w:r w:rsidR="00E538D7">
        <w:t xml:space="preserve"> </w:t>
      </w:r>
      <w:r>
        <w:t>значение весового коэффициента периода:</w:t>
      </w:r>
    </w:p>
    <w:p w:rsidR="00A1147D" w:rsidRDefault="00A1147D" w:rsidP="00AA3D6C">
      <w:pPr>
        <w:jc w:val="right"/>
      </w:pPr>
      <w:r>
        <w:t xml:space="preserve">Таблица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1</w:t>
      </w:r>
      <w:r w:rsidR="002A5164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lastRenderedPageBreak/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2A5164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2A5164">
              <w:rPr>
                <w:b/>
                <w:sz w:val="18"/>
                <w:szCs w:val="18"/>
                <w:lang w:eastAsia="ru-RU"/>
              </w:rPr>
            </w:r>
            <w:r w:rsidR="002A5164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2F6840">
              <w:rPr>
                <w:b/>
                <w:sz w:val="18"/>
                <w:szCs w:val="18"/>
                <w:lang w:eastAsia="ru-RU"/>
              </w:rPr>
              <w:t>2.6.2</w:t>
            </w:r>
            <w:r w:rsidR="002A5164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bookmarkStart w:id="37" w:name="_Ref5116934"/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5846F5">
        <w:rPr>
          <w:rStyle w:val="af2"/>
        </w:rPr>
        <w:footnoteReference w:id="5"/>
      </w:r>
      <w:r w:rsidR="001E78A2">
        <w:t xml:space="preserve"> (п</w:t>
      </w:r>
      <w:r w:rsidR="00333D3C">
        <w:t>ункт</w:t>
      </w:r>
      <w:r w:rsidR="001E78A2">
        <w:t> </w:t>
      </w:r>
      <w:r w:rsidR="002A5164">
        <w:fldChar w:fldCharType="begin"/>
      </w:r>
      <w:r w:rsidR="00144639">
        <w:instrText xml:space="preserve"> REF _Ref4601828 \r \h </w:instrText>
      </w:r>
      <w:r w:rsidR="002A5164">
        <w:fldChar w:fldCharType="separate"/>
      </w:r>
      <w:r w:rsidR="002F6840">
        <w:t>2.6.5</w:t>
      </w:r>
      <w:r w:rsidR="002A5164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  <w:bookmarkEnd w:id="37"/>
    </w:p>
    <w:p w:rsidR="009E0782" w:rsidRDefault="009E0782" w:rsidP="00AA3D6C">
      <w:pPr>
        <w:jc w:val="right"/>
      </w:pPr>
      <w:r>
        <w:t xml:space="preserve">Таблица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2</w:t>
      </w:r>
      <w:r w:rsidR="002A5164">
        <w:rPr>
          <w:noProof/>
        </w:rPr>
        <w:fldChar w:fldCharType="end"/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F50546" w:rsidRPr="004F006E" w:rsidTr="00F649A3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F50546" w:rsidRPr="00750770" w:rsidRDefault="00615772" w:rsidP="00615772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Наименование ф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>инансов</w:t>
            </w:r>
            <w:r>
              <w:rPr>
                <w:rFonts w:eastAsia="Calibri"/>
                <w:b/>
                <w:sz w:val="18"/>
                <w:szCs w:val="18"/>
              </w:rPr>
              <w:t>ого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t xml:space="preserve"> </w:t>
            </w:r>
            <w:r w:rsidRPr="00750770">
              <w:rPr>
                <w:rFonts w:eastAsia="Calibri"/>
                <w:b/>
                <w:sz w:val="18"/>
                <w:szCs w:val="18"/>
              </w:rPr>
              <w:t>показател</w:t>
            </w:r>
            <w:r>
              <w:rPr>
                <w:rFonts w:eastAsia="Calibri"/>
                <w:b/>
                <w:sz w:val="18"/>
                <w:szCs w:val="18"/>
              </w:rPr>
              <w:t>я</w:t>
            </w:r>
            <w:r w:rsidR="00F50546" w:rsidRPr="00750770">
              <w:rPr>
                <w:rFonts w:eastAsia="Calibri"/>
                <w:b/>
                <w:sz w:val="18"/>
                <w:szCs w:val="18"/>
              </w:rPr>
              <w:br/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F50546" w:rsidRPr="004F006E" w:rsidTr="00F649A3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F50546" w:rsidRPr="00750770" w:rsidRDefault="00F50546" w:rsidP="008E7774">
            <w:pPr>
              <w:keepNext/>
              <w:numPr>
                <w:ilvl w:val="5"/>
                <w:numId w:val="0"/>
              </w:numPr>
              <w:spacing w:before="40" w:after="40" w:line="240" w:lineRule="auto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F50546" w:rsidRPr="004F006E" w:rsidTr="00F649A3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F50546" w:rsidRPr="004F006E" w:rsidTr="00F649A3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F50546" w:rsidRPr="004F006E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F50546" w:rsidRPr="004F006E" w:rsidTr="00F649A3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F50546" w:rsidRPr="004F006E" w:rsidTr="00F649A3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операционную деятельность:</w:t>
            </w:r>
          </w:p>
        </w:tc>
      </w:tr>
      <w:tr w:rsidR="00F50546" w:rsidRPr="004F006E" w:rsidTr="00F649A3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F50546" w:rsidRPr="004F006E" w:rsidTr="00F649A3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F50546" w:rsidRPr="004F006E" w:rsidTr="00F649A3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F50546" w:rsidRPr="004F006E" w:rsidTr="00F649A3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lastRenderedPageBreak/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F50546" w:rsidRPr="004F006E" w:rsidTr="00F649A3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F50546" w:rsidRPr="004F006E" w:rsidTr="00F649A3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F50546" w:rsidRPr="004F006E" w:rsidTr="00F649A3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F50546" w:rsidRPr="00750770" w:rsidRDefault="00F50546" w:rsidP="008E7774">
            <w:pPr>
              <w:keepNext/>
              <w:spacing w:before="40" w:after="40" w:line="240" w:lineRule="auto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F50546" w:rsidRPr="004F006E" w:rsidTr="00F649A3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F50546" w:rsidRPr="004F006E" w:rsidTr="00F649A3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F50546" w:rsidRPr="00750770" w:rsidRDefault="00F50546" w:rsidP="008E7774">
            <w:pPr>
              <w:spacing w:before="40" w:after="40" w:line="240" w:lineRule="auto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F50546" w:rsidRPr="00750770" w:rsidRDefault="00F50546" w:rsidP="008E7774">
            <w:pPr>
              <w:spacing w:before="40" w:after="40" w:line="240" w:lineRule="auto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8" w:name="_Ref471912539"/>
      <w:r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2A5164">
        <w:fldChar w:fldCharType="begin"/>
      </w:r>
      <w:r w:rsidR="00606C18">
        <w:instrText xml:space="preserve"> REF _Ref469654191 \r \h </w:instrText>
      </w:r>
      <w:r w:rsidR="002A5164">
        <w:fldChar w:fldCharType="separate"/>
      </w:r>
      <w:r w:rsidR="002F6840">
        <w:t>2.6.4</w:t>
      </w:r>
      <w:r w:rsidR="002A5164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</w:t>
      </w:r>
      <w:r w:rsidR="00A04FF5">
        <w:t>Участник</w:t>
      </w:r>
      <w:r w:rsidR="00023C77" w:rsidRPr="000E3801">
        <w:t xml:space="preserve">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</w:t>
      </w:r>
      <w:r w:rsidR="00A04FF5">
        <w:t>Участник</w:t>
      </w:r>
      <w:r w:rsidR="007D07B8" w:rsidRPr="000E3801">
        <w:t>а в динамике двух отчетных периодов</w:t>
      </w:r>
      <w:r w:rsidR="007E4F40" w:rsidRPr="000E3801">
        <w:t xml:space="preserve"> </w:t>
      </w:r>
      <w:r w:rsidR="000B30C4" w:rsidRPr="000E3801">
        <w:t xml:space="preserve">для типов </w:t>
      </w:r>
      <w:r w:rsidR="00A04FF5">
        <w:t>Участник</w:t>
      </w:r>
      <w:r w:rsidR="000B30C4" w:rsidRPr="000E3801">
        <w:t>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r w:rsidR="003B432C">
        <w:fldChar w:fldCharType="begin"/>
      </w:r>
      <w:r w:rsidR="003B432C">
        <w:instrText xml:space="preserve"> REF _Ref471912511 \r \h  \* MERGEFORMAT </w:instrText>
      </w:r>
      <w:r w:rsidR="003B432C">
        <w:fldChar w:fldCharType="separate"/>
      </w:r>
      <w:r w:rsidR="002F6840">
        <w:t>2.6.2</w:t>
      </w:r>
      <w:r w:rsidR="003B432C">
        <w:fldChar w:fldCharType="end"/>
      </w:r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8"/>
    </w:p>
    <w:p w:rsidR="00023C77" w:rsidRDefault="00023C77" w:rsidP="00AA3D6C">
      <w:pPr>
        <w:jc w:val="right"/>
      </w:pPr>
      <w:r>
        <w:t xml:space="preserve">Таблица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Таблица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3</w:t>
      </w:r>
      <w:r w:rsidR="002A5164">
        <w:rPr>
          <w:noProof/>
        </w:rPr>
        <w:fldChar w:fldCharType="end"/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9" w:name="_Ref456627771"/>
      <w:r w:rsidRPr="00244B06">
        <w:rPr>
          <w:sz w:val="18"/>
          <w:szCs w:val="18"/>
        </w:rPr>
        <w:t>Легенда:</w:t>
      </w:r>
    </w:p>
    <w:tbl>
      <w:tblPr>
        <w:tblStyle w:val="aa"/>
        <w:tblW w:w="0" w:type="auto"/>
        <w:tblInd w:w="1134" w:type="dxa"/>
        <w:tblLook w:val="04A0" w:firstRow="1" w:lastRow="0" w:firstColumn="1" w:lastColumn="0" w:noHBand="0" w:noVBand="1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40" w:name="_Ref471818978"/>
      <w:bookmarkStart w:id="41" w:name="_Toc25849119"/>
      <w:r>
        <w:lastRenderedPageBreak/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9"/>
      <w:bookmarkEnd w:id="40"/>
      <w:bookmarkEnd w:id="41"/>
    </w:p>
    <w:p w:rsidR="00511AAB" w:rsidRDefault="00513524" w:rsidP="00513524">
      <w:pPr>
        <w:pStyle w:val="111"/>
      </w:pPr>
      <w:r>
        <w:t xml:space="preserve">Доля привлеченных средств в пассивах характеризует зависимость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bookmarkStart w:id="42" w:name="_Ref5112577"/>
      <w:r>
        <w:t>При прочих р</w:t>
      </w:r>
      <w:r w:rsidR="00513524">
        <w:t xml:space="preserve">авных условиях, чем больше у </w:t>
      </w:r>
      <w:r w:rsidR="00A04FF5">
        <w:t>Участник</w:t>
      </w:r>
      <w:r>
        <w:t>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  <w:bookmarkEnd w:id="42"/>
    </w:p>
    <w:p w:rsidR="00513524" w:rsidRDefault="00513524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2</w:t>
      </w:r>
      <w:r w:rsidR="002A5164">
        <w:rPr>
          <w:noProof/>
        </w:rPr>
        <w:fldChar w:fldCharType="end"/>
      </w:r>
    </w:p>
    <w:p w:rsidR="000A7205" w:rsidRPr="0028601D" w:rsidRDefault="003B432C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6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7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8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28601D" w:rsidRPr="0028601D" w:rsidRDefault="00FD7B5F" w:rsidP="0028601D">
      <w:pPr>
        <w:pStyle w:val="111"/>
      </w:pPr>
      <w:r>
        <w:t xml:space="preserve">Если при расчёте показателя «Доля привлеченных средств в пассивах» за конкретный отчётный период в соответствии с п. </w:t>
      </w:r>
      <w:r w:rsidR="002A5164">
        <w:fldChar w:fldCharType="begin"/>
      </w:r>
      <w:r>
        <w:instrText xml:space="preserve"> REF _Ref5112577 \r \h </w:instrText>
      </w:r>
      <w:r w:rsidR="002A5164">
        <w:fldChar w:fldCharType="separate"/>
      </w:r>
      <w:r w:rsidR="002F6840">
        <w:t>2.7.2</w:t>
      </w:r>
      <w:r w:rsidR="002A5164">
        <w:fldChar w:fldCharType="end"/>
      </w:r>
      <w:r w:rsidR="00346E76">
        <w:t xml:space="preserve"> настоящей методики</w:t>
      </w:r>
      <w:r>
        <w:t xml:space="preserve"> </w:t>
      </w:r>
      <w:r w:rsidR="0028601D">
        <w:t>в формуле 2 знаменатель равен нолю (деление на ноль), Участнику присваивается значение показателя</w:t>
      </w:r>
      <w:r>
        <w:t>, равное</w:t>
      </w:r>
      <w:r w:rsidR="00346E76">
        <w:t xml:space="preserve"> </w:t>
      </w:r>
      <w:r w:rsidR="007C508B">
        <w:t>1000,00</w:t>
      </w:r>
      <w:r w:rsidR="0028601D" w:rsidRPr="0027302A">
        <w:t>.</w:t>
      </w:r>
      <w:r w:rsidR="00F377FE">
        <w:t xml:space="preserve"> </w:t>
      </w:r>
    </w:p>
    <w:p w:rsidR="000A7205" w:rsidRDefault="00513524" w:rsidP="00513524">
      <w:pPr>
        <w:pStyle w:val="11"/>
      </w:pPr>
      <w:bookmarkStart w:id="43" w:name="_Ref456627779"/>
      <w:bookmarkStart w:id="44" w:name="_Toc25849120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43"/>
      <w:bookmarkEnd w:id="44"/>
    </w:p>
    <w:p w:rsidR="00511AAB" w:rsidRDefault="000A7205" w:rsidP="00513524">
      <w:pPr>
        <w:pStyle w:val="111"/>
      </w:pPr>
      <w:bookmarkStart w:id="45" w:name="_Ref5112926"/>
      <w:r>
        <w:t>Рентабельность вложенного (инвестированного) капитала по прибыли до налогообложения, уплаты процентов, показывает величину прибыли, полученную 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  <w:bookmarkEnd w:id="45"/>
    </w:p>
    <w:p w:rsidR="00513524" w:rsidRDefault="00513524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3</w:t>
      </w:r>
      <w:r w:rsidR="002A5164">
        <w:rPr>
          <w:noProof/>
        </w:rPr>
        <w:fldChar w:fldCharType="end"/>
      </w:r>
    </w:p>
    <w:p w:rsidR="00723E9B" w:rsidRPr="00CE72E9" w:rsidRDefault="003B432C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9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2"/>
                    <w:rFonts w:ascii="Cambria Math" w:hAnsi="Cambria Math"/>
                    <w:i/>
                    <w:szCs w:val="26"/>
                  </w:rPr>
                  <w:footnoteReference w:id="11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2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3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A42A4E" w:rsidRPr="008E7774" w:rsidRDefault="00346E76" w:rsidP="00CE72E9">
      <w:pPr>
        <w:pStyle w:val="111"/>
        <w:rPr>
          <w:szCs w:val="26"/>
        </w:rPr>
      </w:pPr>
      <w:r>
        <w:t xml:space="preserve">Если при расчёте показателя «Рентабельность инвестированного капитала» за конкретный отчётный период в соответствии с п. </w:t>
      </w:r>
      <w:r w:rsidR="002A5164">
        <w:fldChar w:fldCharType="begin"/>
      </w:r>
      <w:r>
        <w:instrText xml:space="preserve"> REF _Ref5112926 \r \h </w:instrText>
      </w:r>
      <w:r w:rsidR="002A5164">
        <w:fldChar w:fldCharType="separate"/>
      </w:r>
      <w:r w:rsidR="002F6840">
        <w:t>2.8.1</w:t>
      </w:r>
      <w:r w:rsidR="002A5164">
        <w:fldChar w:fldCharType="end"/>
      </w:r>
      <w:r>
        <w:t xml:space="preserve"> настоящей методики в формуле 3 знаменатель равен нолю (деление на ноль), Участнику присваивается значение показателя, равное </w:t>
      </w:r>
      <w:r w:rsidR="001059F1">
        <w:t>-</w:t>
      </w:r>
      <w:r w:rsidR="007C508B">
        <w:t>1000,00</w:t>
      </w:r>
      <w:r>
        <w:t>.</w:t>
      </w:r>
    </w:p>
    <w:p w:rsidR="000A7205" w:rsidRDefault="00513524" w:rsidP="00513524">
      <w:pPr>
        <w:pStyle w:val="11"/>
      </w:pPr>
      <w:bookmarkStart w:id="46" w:name="_Ref456627785"/>
      <w:bookmarkStart w:id="47" w:name="_Toc25849121"/>
      <w:r>
        <w:lastRenderedPageBreak/>
        <w:t>Порядок расчета д</w:t>
      </w:r>
      <w:r w:rsidR="000A7205">
        <w:t>олг</w:t>
      </w:r>
      <w:r>
        <w:t>а / EBITDA</w:t>
      </w:r>
      <w:bookmarkEnd w:id="46"/>
      <w:bookmarkEnd w:id="47"/>
    </w:p>
    <w:p w:rsidR="00A95856" w:rsidRDefault="000A7205" w:rsidP="00513524">
      <w:pPr>
        <w:pStyle w:val="111"/>
      </w:pPr>
      <w:bookmarkStart w:id="48" w:name="_Ref5113738"/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 xml:space="preserve">ств) может быть погашена, если </w:t>
      </w:r>
      <w:r w:rsidR="00A04FF5">
        <w:t>Участник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 xml:space="preserve">оценивается платежеспособность </w:t>
      </w:r>
      <w:r w:rsidR="00A04FF5">
        <w:t>Участник</w:t>
      </w:r>
      <w:r>
        <w:t>а в долгосрочном периоде перед банками и другими финансовыми институтами)</w:t>
      </w:r>
      <w:r w:rsidR="00A95856">
        <w:t>:</w:t>
      </w:r>
      <w:bookmarkEnd w:id="48"/>
    </w:p>
    <w:p w:rsidR="00A95856" w:rsidRDefault="00A95856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4</w:t>
      </w:r>
      <w:r w:rsidR="002A5164">
        <w:rPr>
          <w:noProof/>
        </w:rPr>
        <w:fldChar w:fldCharType="end"/>
      </w:r>
    </w:p>
    <w:p w:rsidR="00A95856" w:rsidRPr="00723E9B" w:rsidRDefault="003B432C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4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5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0C4E70" w:rsidRPr="000E3801">
        <w:t>:</w:t>
      </w:r>
    </w:p>
    <w:p w:rsidR="000C4E70" w:rsidRPr="000E3801" w:rsidRDefault="000C4E70" w:rsidP="00AA3D6C">
      <w:pPr>
        <w:jc w:val="right"/>
      </w:pPr>
      <w:r w:rsidRPr="000E3801"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5</w:t>
      </w:r>
      <w:r w:rsidR="002A5164">
        <w:rPr>
          <w:noProof/>
        </w:rPr>
        <w:fldChar w:fldCharType="end"/>
      </w:r>
    </w:p>
    <w:p w:rsidR="000C4E70" w:rsidRPr="00CE72E9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2"/>
            <w:rFonts w:ascii="Cambria Math" w:hAnsi="Cambria Math"/>
            <w:i/>
            <w:szCs w:val="26"/>
          </w:rPr>
          <w:footnoteReference w:id="17"/>
        </m:r>
        <m:r>
          <w:rPr>
            <w:rFonts w:ascii="Cambria Math" w:hAnsi="Cambria Math"/>
            <w:szCs w:val="26"/>
          </w:rPr>
          <m:t>+Амортизация</m:t>
        </m:r>
        <m:r>
          <w:rPr>
            <w:rStyle w:val="af2"/>
            <w:rFonts w:ascii="Cambria Math" w:hAnsi="Cambria Math"/>
            <w:i/>
            <w:szCs w:val="26"/>
          </w:rPr>
          <w:footnoteReference w:id="18"/>
        </m:r>
      </m:oMath>
    </w:p>
    <w:p w:rsidR="001C7C91" w:rsidRPr="00CE72E9" w:rsidRDefault="00181DDC" w:rsidP="00CE72E9">
      <w:pPr>
        <w:pStyle w:val="111"/>
      </w:pPr>
      <w:r>
        <w:t xml:space="preserve">Если при расчёте показателя «Долг» за конкретный отчётный период в соответствии с п. </w:t>
      </w:r>
      <w:r w:rsidR="002A5164">
        <w:fldChar w:fldCharType="begin"/>
      </w:r>
      <w:r>
        <w:instrText xml:space="preserve"> REF _Ref5113738 \r \h </w:instrText>
      </w:r>
      <w:r w:rsidR="002A5164">
        <w:fldChar w:fldCharType="separate"/>
      </w:r>
      <w:r w:rsidR="002F6840">
        <w:t>2.9.1</w:t>
      </w:r>
      <w:r w:rsidR="002A5164">
        <w:fldChar w:fldCharType="end"/>
      </w:r>
      <w:r>
        <w:t xml:space="preserve"> настоящей методики в формуле 4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491A73">
        <w:t>.</w:t>
      </w:r>
      <w:r w:rsidR="001C59A4">
        <w:t xml:space="preserve"> </w:t>
      </w:r>
      <w:bookmarkStart w:id="49" w:name="_Ref456627798"/>
    </w:p>
    <w:p w:rsidR="001B4B32" w:rsidRPr="000E3801" w:rsidRDefault="001B4B32" w:rsidP="001B4B32">
      <w:pPr>
        <w:pStyle w:val="11"/>
      </w:pPr>
      <w:bookmarkStart w:id="50" w:name="_Toc25849122"/>
      <w:r w:rsidRPr="000E3801">
        <w:t>Порядок расчета периода оборота дебиторской задолженности</w:t>
      </w:r>
      <w:bookmarkEnd w:id="49"/>
      <w:bookmarkEnd w:id="50"/>
    </w:p>
    <w:p w:rsidR="001B4B32" w:rsidRDefault="001B4B32" w:rsidP="001B4B32">
      <w:pPr>
        <w:pStyle w:val="111"/>
      </w:pPr>
      <w:bookmarkStart w:id="51" w:name="_Ref5115349"/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</w:t>
      </w:r>
      <w:r w:rsidR="00A04FF5">
        <w:t>Участник</w:t>
      </w:r>
      <w:r>
        <w:t>ом (то есть косвенно характеризует платежеспособность покупателей, а также эффективность мероприятий по сбору платежей):</w:t>
      </w:r>
      <w:bookmarkEnd w:id="51"/>
    </w:p>
    <w:p w:rsidR="00E538D7" w:rsidRDefault="00E538D7" w:rsidP="00AA3D6C">
      <w:pPr>
        <w:jc w:val="right"/>
      </w:pPr>
    </w:p>
    <w:p w:rsidR="001B4B32" w:rsidRDefault="001B4B32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6</w:t>
      </w:r>
      <w:r w:rsidR="002A5164">
        <w:rPr>
          <w:noProof/>
        </w:rPr>
        <w:fldChar w:fldCharType="end"/>
      </w:r>
    </w:p>
    <w:p w:rsidR="001B4B32" w:rsidRPr="008E7774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19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0"/>
            </m:r>
          </m:den>
        </m:f>
      </m:oMath>
    </w:p>
    <w:p w:rsidR="00491A73" w:rsidRDefault="00F75F1D" w:rsidP="00CE72E9">
      <w:pPr>
        <w:pStyle w:val="111"/>
      </w:pPr>
      <w:bookmarkStart w:id="52" w:name="_Ref456627805"/>
      <w:r>
        <w:lastRenderedPageBreak/>
        <w:t>Если при расчёте показателя «П</w:t>
      </w:r>
      <w:r w:rsidRPr="000E3801">
        <w:t>ериод оборота дебиторской задолженности</w:t>
      </w:r>
      <w:r>
        <w:t xml:space="preserve">» за конкретный отчётный период в соответствии с п. </w:t>
      </w:r>
      <w:r w:rsidR="002A5164">
        <w:fldChar w:fldCharType="begin"/>
      </w:r>
      <w:r>
        <w:instrText xml:space="preserve"> REF _Ref5115349 \r \h </w:instrText>
      </w:r>
      <w:r w:rsidR="002A5164">
        <w:fldChar w:fldCharType="separate"/>
      </w:r>
      <w:r w:rsidR="002F6840">
        <w:t>2.10.1</w:t>
      </w:r>
      <w:r w:rsidR="002A5164">
        <w:fldChar w:fldCharType="end"/>
      </w:r>
      <w:r>
        <w:t xml:space="preserve"> настоящей методики в формуле 6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:rsidR="000A7205" w:rsidRDefault="009E0782" w:rsidP="000C4E70">
      <w:pPr>
        <w:pStyle w:val="11"/>
      </w:pPr>
      <w:bookmarkStart w:id="53" w:name="_Toc25849123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52"/>
      <w:bookmarkEnd w:id="53"/>
    </w:p>
    <w:p w:rsidR="000A7205" w:rsidRDefault="000A7205" w:rsidP="000C4E70">
      <w:pPr>
        <w:pStyle w:val="111"/>
      </w:pPr>
      <w:bookmarkStart w:id="54" w:name="_Ref5115489"/>
      <w:r>
        <w:t>Показатель оценивает срок (в днях), в течение которого кредиторская задолже</w:t>
      </w:r>
      <w:r w:rsidR="000C4E70">
        <w:t xml:space="preserve">нность может быть погашена (то есть оценивает платежеспособность </w:t>
      </w:r>
      <w:r w:rsidR="00A04FF5">
        <w:t>Участник</w:t>
      </w:r>
      <w:r>
        <w:t>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  <w:bookmarkEnd w:id="54"/>
    </w:p>
    <w:p w:rsidR="000C4E70" w:rsidRDefault="000C4E70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7</w:t>
      </w:r>
      <w:r w:rsidR="002A5164">
        <w:rPr>
          <w:noProof/>
        </w:rPr>
        <w:fldChar w:fldCharType="end"/>
      </w:r>
    </w:p>
    <w:p w:rsidR="00254363" w:rsidRPr="008E7774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1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2"/>
            </m:r>
          </m:den>
        </m:f>
      </m:oMath>
    </w:p>
    <w:p w:rsidR="00DD70C8" w:rsidRDefault="00F75F1D" w:rsidP="00CE72E9">
      <w:pPr>
        <w:pStyle w:val="111"/>
      </w:pPr>
      <w:bookmarkStart w:id="55" w:name="_Ref456627813"/>
      <w:r>
        <w:t xml:space="preserve">Если при расчёте показателя «Период оборота кредиторской задолженности» за конкретный отчётный период в соответствии с п. </w:t>
      </w:r>
      <w:r w:rsidR="002A5164">
        <w:fldChar w:fldCharType="begin"/>
      </w:r>
      <w:r>
        <w:instrText xml:space="preserve"> REF _Ref5115489 \r \h </w:instrText>
      </w:r>
      <w:r w:rsidR="002A5164">
        <w:fldChar w:fldCharType="separate"/>
      </w:r>
      <w:r w:rsidR="002F6840">
        <w:t>2.11.1</w:t>
      </w:r>
      <w:r w:rsidR="002A5164">
        <w:fldChar w:fldCharType="end"/>
      </w:r>
      <w:r>
        <w:t xml:space="preserve"> настоящей методики в формуле 7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Pr="0027302A">
        <w:t>.</w:t>
      </w:r>
      <w:r>
        <w:t xml:space="preserve"> </w:t>
      </w:r>
    </w:p>
    <w:p w:rsidR="000A7205" w:rsidRDefault="009E0782" w:rsidP="000C4E70">
      <w:pPr>
        <w:pStyle w:val="11"/>
      </w:pPr>
      <w:bookmarkStart w:id="56" w:name="_Toc25849124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55"/>
      <w:bookmarkEnd w:id="56"/>
    </w:p>
    <w:p w:rsidR="000A7205" w:rsidRDefault="000C4E70" w:rsidP="000C4E70">
      <w:pPr>
        <w:pStyle w:val="111"/>
      </w:pPr>
      <w:bookmarkStart w:id="57" w:name="_Ref5115688"/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 xml:space="preserve">квидности отражает возможность </w:t>
      </w:r>
      <w:r w:rsidR="00A04FF5">
        <w:t>Участник</w:t>
      </w:r>
      <w:r w:rsidR="000A7205">
        <w:t>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  <w:bookmarkEnd w:id="57"/>
    </w:p>
    <w:p w:rsidR="000C4E70" w:rsidRDefault="000C4E70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8</w:t>
      </w:r>
      <w:r w:rsidR="002A5164">
        <w:rPr>
          <w:noProof/>
        </w:rPr>
        <w:fldChar w:fldCharType="end"/>
      </w:r>
    </w:p>
    <w:p w:rsidR="007C4AC9" w:rsidRPr="00723E9B" w:rsidRDefault="003B432C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3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58" w:name="_Ref456627819"/>
      <w:r>
        <w:t>где:</w:t>
      </w:r>
    </w:p>
    <w:p w:rsidR="00E31360" w:rsidRDefault="00E31360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9</w:t>
      </w:r>
      <w:r w:rsidR="002A5164">
        <w:rPr>
          <w:noProof/>
        </w:rPr>
        <w:fldChar w:fldCharType="end"/>
      </w:r>
    </w:p>
    <w:p w:rsidR="00E31360" w:rsidRPr="00CE72E9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2"/>
            <w:rFonts w:ascii="Cambria Math" w:hAnsi="Cambria Math"/>
            <w:i/>
            <w:szCs w:val="26"/>
          </w:rPr>
          <w:footnoteReference w:id="24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2"/>
            <w:rFonts w:ascii="Cambria Math" w:hAnsi="Cambria Math"/>
            <w:i/>
            <w:szCs w:val="26"/>
          </w:rPr>
          <w:footnoteReference w:id="25"/>
        </m:r>
      </m:oMath>
    </w:p>
    <w:p w:rsidR="00DD70C8" w:rsidRPr="00F75F1D" w:rsidRDefault="00F75F1D" w:rsidP="00F75F1D">
      <w:pPr>
        <w:pStyle w:val="111"/>
        <w:rPr>
          <w:szCs w:val="26"/>
        </w:rPr>
      </w:pPr>
      <w:r>
        <w:lastRenderedPageBreak/>
        <w:t xml:space="preserve">Если при расчёте показателя «Коэффициент абсолютной ликвидности» за конкретный отчётный период в соответствии с п. </w:t>
      </w:r>
      <w:r w:rsidR="002A5164">
        <w:fldChar w:fldCharType="begin"/>
      </w:r>
      <w:r>
        <w:instrText xml:space="preserve"> REF _Ref5115688 \r \h </w:instrText>
      </w:r>
      <w:r w:rsidR="002A5164">
        <w:fldChar w:fldCharType="separate"/>
      </w:r>
      <w:r w:rsidR="002F6840">
        <w:t>2.12.1</w:t>
      </w:r>
      <w:r w:rsidR="002A5164">
        <w:fldChar w:fldCharType="end"/>
      </w:r>
      <w:r>
        <w:t xml:space="preserve"> настоящей методики в формуле 8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DD70C8">
        <w:t>.</w:t>
      </w:r>
      <w:r w:rsidRPr="00F75F1D">
        <w:t xml:space="preserve"> </w:t>
      </w:r>
    </w:p>
    <w:p w:rsidR="000A7205" w:rsidRDefault="009E0782" w:rsidP="00511AAB">
      <w:pPr>
        <w:pStyle w:val="11"/>
      </w:pPr>
      <w:bookmarkStart w:id="59" w:name="_Ref466276214"/>
      <w:bookmarkStart w:id="60" w:name="_Toc25849125"/>
      <w:r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58"/>
      <w:bookmarkEnd w:id="59"/>
      <w:bookmarkEnd w:id="60"/>
    </w:p>
    <w:p w:rsidR="00511AAB" w:rsidRDefault="000C4E70" w:rsidP="000C4E70">
      <w:pPr>
        <w:pStyle w:val="111"/>
      </w:pPr>
      <w:bookmarkStart w:id="61" w:name="_Ref5116244"/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 xml:space="preserve">ой степени внеоборотные активы </w:t>
      </w:r>
      <w:r w:rsidR="00A04FF5">
        <w:t>Участник</w:t>
      </w:r>
      <w:r w:rsidR="000A7205">
        <w:t>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  <w:bookmarkEnd w:id="61"/>
    </w:p>
    <w:p w:rsidR="000C4E70" w:rsidRDefault="000C4E70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10</w:t>
      </w:r>
      <w:r w:rsidR="002A5164">
        <w:rPr>
          <w:noProof/>
        </w:rPr>
        <w:fldChar w:fldCharType="end"/>
      </w:r>
    </w:p>
    <w:p w:rsidR="007C4AC9" w:rsidRPr="008E7774" w:rsidRDefault="003B432C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6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7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28"/>
            </m:r>
          </m:den>
        </m:f>
      </m:oMath>
    </w:p>
    <w:p w:rsidR="00DD70C8" w:rsidRDefault="00F75F1D" w:rsidP="00CE72E9">
      <w:pPr>
        <w:pStyle w:val="111"/>
      </w:pPr>
      <w:bookmarkStart w:id="62" w:name="_Ref456627826"/>
      <w:r>
        <w:t xml:space="preserve">Если при расчёте показателя «Коэффициент покрытия внеоборотных активов собственным капиталом и долгосрочными </w:t>
      </w:r>
      <w:r w:rsidR="00975986">
        <w:t>источниками финансирования</w:t>
      </w:r>
      <w:r>
        <w:t xml:space="preserve">» за конкретный отчётный период в соответствии с п. </w:t>
      </w:r>
      <w:r w:rsidR="002A5164">
        <w:fldChar w:fldCharType="begin"/>
      </w:r>
      <w:r w:rsidR="00975986">
        <w:instrText xml:space="preserve"> REF _Ref5116244 \r \h </w:instrText>
      </w:r>
      <w:r w:rsidR="002A5164">
        <w:fldChar w:fldCharType="separate"/>
      </w:r>
      <w:r w:rsidR="002F6840">
        <w:t>2.13.1</w:t>
      </w:r>
      <w:r w:rsidR="002A5164">
        <w:fldChar w:fldCharType="end"/>
      </w:r>
      <w:r w:rsidR="00975986">
        <w:t xml:space="preserve"> </w:t>
      </w:r>
      <w:r>
        <w:t xml:space="preserve">настоящей методики в формуле </w:t>
      </w:r>
      <w:r w:rsidR="00975986">
        <w:t>10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>
        <w:t>.</w:t>
      </w:r>
      <w:r w:rsidR="00975986" w:rsidRPr="00975986">
        <w:t xml:space="preserve"> </w:t>
      </w:r>
    </w:p>
    <w:p w:rsidR="000A7205" w:rsidRDefault="009E0782" w:rsidP="000C4E70">
      <w:pPr>
        <w:pStyle w:val="11"/>
      </w:pPr>
      <w:bookmarkStart w:id="63" w:name="_Toc25849126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62"/>
      <w:bookmarkEnd w:id="63"/>
    </w:p>
    <w:p w:rsidR="000A7205" w:rsidRDefault="000A7205" w:rsidP="008E7774">
      <w:pPr>
        <w:pStyle w:val="111"/>
      </w:pPr>
      <w:bookmarkStart w:id="64" w:name="_Ref5116381"/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  <w:bookmarkEnd w:id="64"/>
    </w:p>
    <w:p w:rsidR="000C4E70" w:rsidRDefault="000C4E70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11</w:t>
      </w:r>
      <w:r w:rsidR="002A5164">
        <w:rPr>
          <w:noProof/>
        </w:rPr>
        <w:fldChar w:fldCharType="end"/>
      </w:r>
    </w:p>
    <w:p w:rsidR="007C4AC9" w:rsidRPr="00CE72E9" w:rsidRDefault="003B432C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2"/>
                <w:rFonts w:ascii="Cambria Math" w:hAnsi="Cambria Math"/>
                <w:i/>
                <w:szCs w:val="26"/>
              </w:rPr>
              <w:footnoteReference w:id="29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E538D7" w:rsidRPr="008E7774" w:rsidRDefault="00975986" w:rsidP="00CE72E9">
      <w:pPr>
        <w:pStyle w:val="111"/>
        <w:rPr>
          <w:szCs w:val="26"/>
        </w:rPr>
      </w:pPr>
      <w:r>
        <w:t xml:space="preserve">Если при расчёте показателя «Коэффициент финансовой независимости (автономии)» за конкретный отчётный период в соответствии с п. </w:t>
      </w:r>
      <w:r w:rsidR="002A5164">
        <w:fldChar w:fldCharType="begin"/>
      </w:r>
      <w:r>
        <w:instrText xml:space="preserve"> REF _Ref5116381 \r \h </w:instrText>
      </w:r>
      <w:r w:rsidR="002A5164">
        <w:fldChar w:fldCharType="separate"/>
      </w:r>
      <w:r w:rsidR="002F6840">
        <w:t>2.14.1</w:t>
      </w:r>
      <w:r w:rsidR="002A5164">
        <w:fldChar w:fldCharType="end"/>
      </w:r>
      <w:r>
        <w:t xml:space="preserve"> настоящей методики в формуле 11 знаменатель равен нолю (деление на ноль), Участнику присваивается значение показателя, равное </w:t>
      </w:r>
      <w:r w:rsidR="007C508B">
        <w:t>-1000,00</w:t>
      </w:r>
      <w:r w:rsidR="00E538D7">
        <w:t>.</w:t>
      </w:r>
      <w:r w:rsidRPr="00975986">
        <w:t xml:space="preserve"> </w:t>
      </w:r>
    </w:p>
    <w:p w:rsidR="000C4E70" w:rsidRDefault="009E0782" w:rsidP="000C4E70">
      <w:pPr>
        <w:pStyle w:val="11"/>
      </w:pPr>
      <w:bookmarkStart w:id="65" w:name="_Ref456627836"/>
      <w:bookmarkStart w:id="66" w:name="_Toc25849127"/>
      <w:r>
        <w:lastRenderedPageBreak/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</w:t>
      </w:r>
      <w:r w:rsidR="00A04FF5">
        <w:t>Участник</w:t>
      </w:r>
      <w:r w:rsidR="000C4E70">
        <w:t xml:space="preserve">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65"/>
      <w:bookmarkEnd w:id="66"/>
    </w:p>
    <w:p w:rsidR="009E0782" w:rsidRDefault="00223C36" w:rsidP="009E0782">
      <w:pPr>
        <w:pStyle w:val="111"/>
      </w:pPr>
      <w:bookmarkStart w:id="67" w:name="_Ref5116560"/>
      <w:r>
        <w:t>Коэффициент</w:t>
      </w:r>
      <w:r w:rsidR="009E0782">
        <w:t xml:space="preserve"> характеризует соответствие м</w:t>
      </w:r>
      <w:r w:rsidR="00B96FD6">
        <w:t xml:space="preserve">асштаба деятельности </w:t>
      </w:r>
      <w:r w:rsidR="00A04FF5">
        <w:t>Участник</w:t>
      </w:r>
      <w:r w:rsidR="00B96FD6">
        <w:t>а</w:t>
      </w:r>
      <w:r w:rsidR="009E0782">
        <w:t>, через соотношение предложенной в заявке цене догово</w:t>
      </w:r>
      <w:r w:rsidR="00B96FD6">
        <w:t xml:space="preserve">ра и годовой выручки </w:t>
      </w:r>
      <w:r w:rsidR="00A04FF5">
        <w:t>Участник</w:t>
      </w:r>
      <w:r w:rsidR="00B96FD6">
        <w:t>а</w:t>
      </w:r>
      <w:r w:rsidR="00A95856">
        <w:t>:</w:t>
      </w:r>
      <w:bookmarkEnd w:id="67"/>
    </w:p>
    <w:p w:rsidR="009E0782" w:rsidRDefault="009E0782" w:rsidP="00AA3D6C">
      <w:pPr>
        <w:jc w:val="right"/>
      </w:pPr>
      <w:r>
        <w:t xml:space="preserve">Формула </w:t>
      </w:r>
      <w:r w:rsidR="002A5164">
        <w:rPr>
          <w:noProof/>
        </w:rPr>
        <w:fldChar w:fldCharType="begin"/>
      </w:r>
      <w:r w:rsidR="0026215E">
        <w:rPr>
          <w:noProof/>
        </w:rPr>
        <w:instrText xml:space="preserve"> SEQ Формула \* ARABIC </w:instrText>
      </w:r>
      <w:r w:rsidR="002A5164">
        <w:rPr>
          <w:noProof/>
        </w:rPr>
        <w:fldChar w:fldCharType="separate"/>
      </w:r>
      <w:r w:rsidR="002F6840">
        <w:rPr>
          <w:noProof/>
        </w:rPr>
        <w:t>12</w:t>
      </w:r>
      <w:r w:rsidR="002A5164">
        <w:rPr>
          <w:noProof/>
        </w:rPr>
        <w:fldChar w:fldCharType="end"/>
      </w:r>
    </w:p>
    <w:p w:rsidR="009E0782" w:rsidRPr="008E7774" w:rsidRDefault="003B432C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070F9A" w:rsidRDefault="00070F9A" w:rsidP="008E7774">
      <w:pPr>
        <w:pStyle w:val="111"/>
      </w:pPr>
      <w:r w:rsidRPr="00FD034B">
        <w:t>Для закупок, участниками которых могут быть только субъекты МСП, вместо значения «Предложенная в заявке цене договора» следует использовать значение «Н</w:t>
      </w:r>
      <w:r w:rsidRPr="00FD034B">
        <w:rPr>
          <w:color w:val="000000" w:themeColor="text1"/>
        </w:rPr>
        <w:t>ачальная (максимальная) цена договора (цена лота)</w:t>
      </w:r>
      <w:r w:rsidRPr="00FD034B">
        <w:t>».</w:t>
      </w:r>
    </w:p>
    <w:p w:rsidR="00DD70C8" w:rsidRDefault="00975986" w:rsidP="008E7774">
      <w:pPr>
        <w:pStyle w:val="111"/>
      </w:pPr>
      <w:r>
        <w:t xml:space="preserve">Если при расчёте показателя «Коэффициент масштаба деятельности Участника по отношению к годовой выручке» за конкретный отчётный период в соответствии с п. </w:t>
      </w:r>
      <w:r w:rsidR="002A5164">
        <w:fldChar w:fldCharType="begin"/>
      </w:r>
      <w:r>
        <w:instrText xml:space="preserve"> REF _Ref5116560 \r \h </w:instrText>
      </w:r>
      <w:r w:rsidR="002A5164">
        <w:fldChar w:fldCharType="separate"/>
      </w:r>
      <w:r w:rsidR="002F6840">
        <w:t>2.15.1</w:t>
      </w:r>
      <w:r w:rsidR="002A5164">
        <w:fldChar w:fldCharType="end"/>
      </w:r>
      <w:r>
        <w:t xml:space="preserve"> настоящей методики в формуле 12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:rsidR="009E0782" w:rsidRPr="00F649A3" w:rsidRDefault="009E0782" w:rsidP="009E0782">
      <w:pPr>
        <w:pStyle w:val="11"/>
      </w:pPr>
      <w:bookmarkStart w:id="68" w:name="_Ref456627844"/>
      <w:bookmarkStart w:id="69" w:name="_Toc25849128"/>
      <w:r w:rsidRPr="00F649A3">
        <w:t xml:space="preserve">Порядок расчета коэффициента масштаба деятельности </w:t>
      </w:r>
      <w:r w:rsidR="00A04FF5" w:rsidRPr="00F649A3">
        <w:t>Участник</w:t>
      </w:r>
      <w:r w:rsidRPr="00F649A3">
        <w:t>а по отношению к активам</w:t>
      </w:r>
      <w:bookmarkEnd w:id="68"/>
      <w:bookmarkEnd w:id="69"/>
    </w:p>
    <w:p w:rsidR="009E0782" w:rsidRPr="00F649A3" w:rsidRDefault="00223C36" w:rsidP="009E0782">
      <w:pPr>
        <w:pStyle w:val="111"/>
      </w:pPr>
      <w:bookmarkStart w:id="70" w:name="_Ref5116718"/>
      <w:r w:rsidRPr="00F649A3">
        <w:t>Коэффициент</w:t>
      </w:r>
      <w:r w:rsidR="009E0782" w:rsidRPr="00F649A3">
        <w:t xml:space="preserve"> характеризует соответствие масштаба деятельности </w:t>
      </w:r>
      <w:r w:rsidR="00A04FF5" w:rsidRPr="00F649A3">
        <w:t>Участник</w:t>
      </w:r>
      <w:r w:rsidR="009E0782" w:rsidRPr="00F649A3">
        <w:t xml:space="preserve">а, через соотношение предложенной в заявке цене договора и активов </w:t>
      </w:r>
      <w:r w:rsidR="00A04FF5" w:rsidRPr="00F649A3">
        <w:t>Участник</w:t>
      </w:r>
      <w:r w:rsidR="009E0782" w:rsidRPr="00F649A3">
        <w:t>а</w:t>
      </w:r>
      <w:r w:rsidR="00A95856" w:rsidRPr="00F649A3">
        <w:t>:</w:t>
      </w:r>
      <w:bookmarkEnd w:id="70"/>
    </w:p>
    <w:p w:rsidR="009E0782" w:rsidRPr="00F649A3" w:rsidRDefault="009E0782" w:rsidP="00AA3D6C">
      <w:pPr>
        <w:jc w:val="right"/>
      </w:pPr>
      <w:r w:rsidRPr="00F649A3">
        <w:t xml:space="preserve">Формула </w:t>
      </w:r>
      <w:r w:rsidR="002A5164" w:rsidRPr="002E7665">
        <w:fldChar w:fldCharType="begin"/>
      </w:r>
      <w:r w:rsidR="00F649A3" w:rsidRPr="00F649A3">
        <w:instrText xml:space="preserve"> SEQ Формула \* ARABIC </w:instrText>
      </w:r>
      <w:r w:rsidR="002A5164" w:rsidRPr="002E7665">
        <w:fldChar w:fldCharType="separate"/>
      </w:r>
      <w:r w:rsidR="002F6840">
        <w:rPr>
          <w:noProof/>
        </w:rPr>
        <w:t>13</w:t>
      </w:r>
      <w:r w:rsidR="002A5164" w:rsidRPr="002E7665">
        <w:rPr>
          <w:noProof/>
        </w:rPr>
        <w:fldChar w:fldCharType="end"/>
      </w:r>
    </w:p>
    <w:p w:rsidR="009E0782" w:rsidRPr="008E7774" w:rsidRDefault="003B432C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 w:hint="eastAsia"/>
                <w:szCs w:val="26"/>
              </w:rPr>
              <m:t>Предложенная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в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заявке</m:t>
            </m:r>
            <m:r>
              <w:rPr>
                <w:rFonts w:ascii="Cambria Math" w:hAnsi="Cambria Math"/>
                <w:szCs w:val="26"/>
              </w:rPr>
              <m:t>_</m:t>
            </m:r>
            <m:r>
              <w:rPr>
                <w:rFonts w:ascii="Cambria Math" w:hAnsi="Cambria Math" w:hint="eastAsia"/>
                <w:szCs w:val="26"/>
              </w:rPr>
              <m:t>цена</m:t>
            </m:r>
            <m:r>
              <w:rPr>
                <w:rFonts w:ascii="Cambria Math" w:hAnsi="Cambria Math"/>
                <w:szCs w:val="26"/>
              </w:rPr>
              <m:t xml:space="preserve"> </m:t>
            </m:r>
            <m:r>
              <w:rPr>
                <w:rFonts w:ascii="Cambria Math" w:hAnsi="Cambria Math" w:hint="eastAsia"/>
                <w:szCs w:val="26"/>
              </w:rPr>
              <m:t>договора</m:t>
            </m:r>
          </m:num>
          <m:den>
            <m:r>
              <w:rPr>
                <w:rFonts w:ascii="Cambria Math" w:hAnsi="Cambria Math" w:hint="eastAsia"/>
                <w:szCs w:val="26"/>
              </w:rPr>
              <m:t>Активы</m:t>
            </m:r>
            <m:r>
              <w:rPr>
                <w:rStyle w:val="af2"/>
                <w:rFonts w:ascii="Cambria Math" w:hAnsi="Cambria Math"/>
                <w:i/>
                <w:szCs w:val="26"/>
                <w:lang w:val="en-US"/>
              </w:rPr>
              <w:footnoteReference w:id="32"/>
            </m:r>
          </m:den>
        </m:f>
      </m:oMath>
    </w:p>
    <w:p w:rsidR="00070F9A" w:rsidRPr="007B2230" w:rsidRDefault="00070F9A" w:rsidP="007C6420">
      <w:pPr>
        <w:pStyle w:val="111"/>
      </w:pPr>
      <w:r w:rsidRPr="00FF2621">
        <w:rPr>
          <w:color w:val="000000" w:themeColor="text1"/>
        </w:rPr>
        <w:t xml:space="preserve">Для закупок, </w:t>
      </w:r>
      <w:r w:rsidRPr="00FF2621">
        <w:t>участниками которых могут быть только субъекты МСП, вместо значения «Предложенная в заявке цене договора» следует использовать значение «Н</w:t>
      </w:r>
      <w:r w:rsidRPr="00FF2621">
        <w:rPr>
          <w:color w:val="000000" w:themeColor="text1"/>
        </w:rPr>
        <w:t>ачальная (максимальная) цена договора (цена лота)</w:t>
      </w:r>
      <w:r w:rsidRPr="00FF2621">
        <w:t>»</w:t>
      </w:r>
      <w:r w:rsidRPr="00FF2621">
        <w:rPr>
          <w:color w:val="000000" w:themeColor="text1"/>
        </w:rPr>
        <w:t xml:space="preserve">. </w:t>
      </w:r>
    </w:p>
    <w:p w:rsidR="00DD70C8" w:rsidRPr="008E7774" w:rsidRDefault="00975986" w:rsidP="00F00853">
      <w:pPr>
        <w:pStyle w:val="111"/>
      </w:pPr>
      <w:r>
        <w:t xml:space="preserve">Если при расчёте показателя «Коэффициент масштаба деятельности Участника по отношению к </w:t>
      </w:r>
      <w:r w:rsidR="00390463">
        <w:t>активам</w:t>
      </w:r>
      <w:r>
        <w:t xml:space="preserve">» за конкретный отчётный период в соответствии с п. </w:t>
      </w:r>
      <w:r w:rsidR="002A5164">
        <w:fldChar w:fldCharType="begin"/>
      </w:r>
      <w:r w:rsidR="00390463">
        <w:instrText xml:space="preserve"> REF _Ref5116718 \r \h </w:instrText>
      </w:r>
      <w:r w:rsidR="002A5164">
        <w:fldChar w:fldCharType="separate"/>
      </w:r>
      <w:r w:rsidR="002F6840">
        <w:t>2.16.1</w:t>
      </w:r>
      <w:r w:rsidR="002A5164">
        <w:fldChar w:fldCharType="end"/>
      </w:r>
      <w:r w:rsidR="00390463">
        <w:t xml:space="preserve"> </w:t>
      </w:r>
      <w:r>
        <w:t>настоящей методики в формуле 1</w:t>
      </w:r>
      <w:r w:rsidR="00390463">
        <w:t>3</w:t>
      </w:r>
      <w:r>
        <w:t xml:space="preserve"> знаменатель равен нолю (деление на ноль), Участнику присваивается значение показателя, равное </w:t>
      </w:r>
      <w:r w:rsidR="007C508B">
        <w:t>1000,00</w:t>
      </w:r>
      <w:r w:rsidR="00DD70C8" w:rsidRPr="00F649A3">
        <w:t>.</w:t>
      </w:r>
      <w:r w:rsidRPr="00975986">
        <w:t xml:space="preserve"> </w:t>
      </w:r>
    </w:p>
    <w:p w:rsidR="00513524" w:rsidRDefault="00F131C0" w:rsidP="00F131C0">
      <w:pPr>
        <w:pStyle w:val="1"/>
      </w:pPr>
      <w:bookmarkStart w:id="71" w:name="_Toc469414192"/>
      <w:bookmarkStart w:id="72" w:name="_Toc469414193"/>
      <w:bookmarkStart w:id="73" w:name="_Toc469414194"/>
      <w:bookmarkStart w:id="74" w:name="_Toc469414195"/>
      <w:bookmarkStart w:id="75" w:name="_Toc469414196"/>
      <w:bookmarkStart w:id="76" w:name="_Toc469414197"/>
      <w:bookmarkStart w:id="77" w:name="_Toc25849129"/>
      <w:bookmarkEnd w:id="71"/>
      <w:bookmarkEnd w:id="72"/>
      <w:bookmarkEnd w:id="73"/>
      <w:bookmarkEnd w:id="74"/>
      <w:bookmarkEnd w:id="75"/>
      <w:bookmarkEnd w:id="76"/>
      <w:r>
        <w:lastRenderedPageBreak/>
        <w:t xml:space="preserve">Проверка </w:t>
      </w:r>
      <w:r w:rsidR="00A04FF5">
        <w:t>К</w:t>
      </w:r>
      <w:r>
        <w:t>оллективного участника закупки</w:t>
      </w:r>
      <w:bookmarkEnd w:id="77"/>
    </w:p>
    <w:p w:rsidR="00F131C0" w:rsidRDefault="00F131C0" w:rsidP="00F131C0">
      <w:pPr>
        <w:pStyle w:val="11"/>
      </w:pPr>
      <w:bookmarkStart w:id="78" w:name="_Toc25849130"/>
      <w:r>
        <w:t xml:space="preserve">Особенности проверки </w:t>
      </w:r>
      <w:r w:rsidR="00180D5D">
        <w:t>Ко</w:t>
      </w:r>
      <w:r>
        <w:t>ллективного участника закупки</w:t>
      </w:r>
      <w:bookmarkEnd w:id="78"/>
    </w:p>
    <w:p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2A5164">
        <w:fldChar w:fldCharType="begin"/>
      </w:r>
      <w:r>
        <w:instrText xml:space="preserve"> REF _Ref456628109 \n \h </w:instrText>
      </w:r>
      <w:r w:rsidR="002A5164">
        <w:fldChar w:fldCharType="separate"/>
      </w:r>
      <w:r w:rsidR="002F6840">
        <w:t>2.4.1</w:t>
      </w:r>
      <w:r w:rsidR="002A5164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2A5164">
        <w:fldChar w:fldCharType="begin"/>
      </w:r>
      <w:r>
        <w:instrText xml:space="preserve"> REF _Ref456628758 \n \h </w:instrText>
      </w:r>
      <w:r w:rsidR="002A5164">
        <w:fldChar w:fldCharType="separate"/>
      </w:r>
      <w:r w:rsidR="002F6840">
        <w:t>2.5.1</w:t>
      </w:r>
      <w:r w:rsidR="002A5164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</w:t>
      </w:r>
      <w:r w:rsidR="00A04FF5">
        <w:t xml:space="preserve">Коллективного </w:t>
      </w:r>
      <w:r w:rsidR="00631DB5">
        <w:t>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 xml:space="preserve">ом </w:t>
      </w:r>
      <w:r w:rsidR="00A04FF5">
        <w:t xml:space="preserve">Коллективного </w:t>
      </w:r>
      <w:r w:rsidR="008170EF">
        <w:t>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75718E">
      <w:pPr>
        <w:pStyle w:val="111"/>
      </w:pPr>
      <w:r>
        <w:t xml:space="preserve">Каждый член </w:t>
      </w:r>
      <w:r w:rsidR="00A04FF5">
        <w:t xml:space="preserve">Коллективного </w:t>
      </w:r>
      <w:r>
        <w:t>участника проверяется на финансовую устойчивость (</w:t>
      </w:r>
      <w:r w:rsidR="00403589">
        <w:t>пункт </w:t>
      </w:r>
      <w:r w:rsidR="002A5164">
        <w:fldChar w:fldCharType="begin"/>
      </w:r>
      <w:r>
        <w:instrText xml:space="preserve"> REF _Ref456628948 \n \h </w:instrText>
      </w:r>
      <w:r w:rsidR="002A5164">
        <w:fldChar w:fldCharType="separate"/>
      </w:r>
      <w:r w:rsidR="002F6840">
        <w:t>2.6</w:t>
      </w:r>
      <w:r w:rsidR="002A5164">
        <w:fldChar w:fldCharType="end"/>
      </w:r>
      <w:r w:rsidR="00403589">
        <w:t xml:space="preserve"> настоящей методики</w:t>
      </w:r>
      <w:r>
        <w:t>.).</w:t>
      </w:r>
    </w:p>
    <w:p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:rsidR="005D0EF2" w:rsidRPr="005D0EF2" w:rsidRDefault="005D0EF2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:rsidR="005D0EF2" w:rsidRPr="005D0EF2" w:rsidRDefault="005D0EF2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5D0EF2" w:rsidRPr="005D0EF2" w:rsidRDefault="005D0EF2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F131C0" w:rsidRDefault="00F131C0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</w:t>
      </w:r>
      <w:r w:rsidR="00B96FD6">
        <w:t xml:space="preserve">сштабов деятельности </w:t>
      </w:r>
      <w:r w:rsidR="00A04FF5">
        <w:t>Участник</w:t>
      </w:r>
      <w:r w:rsidR="00B96FD6">
        <w:t>а</w:t>
      </w:r>
      <w:r>
        <w:t xml:space="preserve"> (п</w:t>
      </w:r>
      <w:r w:rsidR="00403589">
        <w:t>ункт</w:t>
      </w:r>
      <w:r>
        <w:t> </w:t>
      </w:r>
      <w:r w:rsidR="002A5164">
        <w:fldChar w:fldCharType="begin"/>
      </w:r>
      <w:r>
        <w:instrText xml:space="preserve"> REF _Ref456629409 \w \h </w:instrText>
      </w:r>
      <w:r w:rsidR="002A5164">
        <w:fldChar w:fldCharType="separate"/>
      </w:r>
      <w:r w:rsidR="002F6840">
        <w:t>2.6.3</w:t>
      </w:r>
      <w:r w:rsidR="002A5164">
        <w:fldChar w:fldCharType="end"/>
      </w:r>
      <w:r w:rsidR="002A5164">
        <w:fldChar w:fldCharType="begin"/>
      </w:r>
      <w:r>
        <w:instrText xml:space="preserve"> REF _Ref456629415 \n \h </w:instrText>
      </w:r>
      <w:r w:rsidR="002A5164">
        <w:fldChar w:fldCharType="separate"/>
      </w:r>
      <w:r w:rsidR="002F6840">
        <w:t>(д)</w:t>
      </w:r>
      <w:r w:rsidR="002A5164">
        <w:fldChar w:fldCharType="end"/>
      </w:r>
      <w:r w:rsidR="00403589">
        <w:t xml:space="preserve"> настоящей методики</w:t>
      </w:r>
      <w:r>
        <w:t xml:space="preserve">), вместо цены договора, предложенной в заявке, используется </w:t>
      </w:r>
      <w:r w:rsidRPr="005D0EF2">
        <w:t xml:space="preserve">объем договорных обязательств соответствующего </w:t>
      </w:r>
      <w:r w:rsidR="00A04FF5" w:rsidRPr="005D0EF2">
        <w:t xml:space="preserve">Коллективного </w:t>
      </w:r>
      <w:r w:rsidRPr="005D0EF2">
        <w:t>участника,</w:t>
      </w:r>
      <w:r>
        <w:t xml:space="preserve">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</w:t>
      </w:r>
      <w:r w:rsidR="00FE2ACC" w:rsidRPr="00FE2ACC">
        <w:t xml:space="preserve"> </w:t>
      </w:r>
      <w:r w:rsidR="00FE2ACC" w:rsidRPr="006A292F">
        <w:t>поставки продукции</w:t>
      </w:r>
      <w:r>
        <w:t xml:space="preserve"> внутри </w:t>
      </w:r>
      <w:r w:rsidR="00A04FF5">
        <w:t xml:space="preserve">Коллективного </w:t>
      </w:r>
      <w:r>
        <w:t>участника», либо аналогичного по смыслу документа заявки.</w:t>
      </w:r>
    </w:p>
    <w:p w:rsidR="005D7FA8" w:rsidRPr="00B02CCA" w:rsidRDefault="005D7FA8" w:rsidP="00F2520A">
      <w:pPr>
        <w:pStyle w:val="10"/>
        <w:numPr>
          <w:ilvl w:val="3"/>
          <w:numId w:val="15"/>
        </w:numPr>
      </w:pPr>
      <w:r w:rsidRPr="001C7C91">
        <w:t>При расчете финансовых показателей, характеризующих соответствие масштабов деятельности Участника (</w:t>
      </w:r>
      <w:r>
        <w:t>пункт </w:t>
      </w:r>
      <w:r w:rsidR="002A5164">
        <w:fldChar w:fldCharType="begin"/>
      </w:r>
      <w:r>
        <w:instrText xml:space="preserve"> REF _Ref456629409 \w \h </w:instrText>
      </w:r>
      <w:r w:rsidR="002A5164">
        <w:fldChar w:fldCharType="separate"/>
      </w:r>
      <w:r w:rsidR="002F6840">
        <w:t>2.6.3</w:t>
      </w:r>
      <w:r w:rsidR="002A5164">
        <w:fldChar w:fldCharType="end"/>
      </w:r>
      <w:r w:rsidR="002A5164">
        <w:fldChar w:fldCharType="begin"/>
      </w:r>
      <w:r>
        <w:instrText xml:space="preserve"> REF _Ref456629415 \n \h </w:instrText>
      </w:r>
      <w:r w:rsidR="002A5164">
        <w:fldChar w:fldCharType="separate"/>
      </w:r>
      <w:r w:rsidR="002F6840">
        <w:t>(д)</w:t>
      </w:r>
      <w:r w:rsidR="002A5164">
        <w:fldChar w:fldCharType="end"/>
      </w:r>
      <w:r>
        <w:t xml:space="preserve"> </w:t>
      </w:r>
      <w:r w:rsidRPr="001C7C91">
        <w:t>настоящей методики)</w:t>
      </w:r>
      <w:r>
        <w:t xml:space="preserve"> для закупок, участниками которых могут быть только субъекты МСП, </w:t>
      </w:r>
      <w:r w:rsidR="005D0EF2">
        <w:t xml:space="preserve">вместо цены договора, предложенной в заявке, используется </w:t>
      </w:r>
      <w:r w:rsidRPr="00FD034B">
        <w:t>значение «Н</w:t>
      </w:r>
      <w:r w:rsidRPr="00B02CCA">
        <w:rPr>
          <w:color w:val="000000" w:themeColor="text1"/>
        </w:rPr>
        <w:t>ачальная (максимальная) цена договора (цена лота)</w:t>
      </w:r>
      <w:r w:rsidRPr="00FD034B">
        <w:t>»</w:t>
      </w:r>
      <w:r w:rsidR="005D0EF2">
        <w:t>,</w:t>
      </w:r>
      <w:r>
        <w:t xml:space="preserve"> умноженное на </w:t>
      </w:r>
      <w:r w:rsidRPr="00B02CCA">
        <w:t xml:space="preserve">объем договорных обязательств соответствующего Коллективного участника, выраженный в </w:t>
      </w:r>
      <w:r>
        <w:t>%</w:t>
      </w:r>
      <w:r w:rsidRPr="00B02CCA">
        <w:t xml:space="preserve">, согласно документу заявки «План </w:t>
      </w:r>
      <w:r w:rsidRPr="00B02CCA">
        <w:lastRenderedPageBreak/>
        <w:t>распределения объемов поставки продукции внутри Коллективного участника», либо аналогичного по смыслу документа заявки.</w:t>
      </w:r>
    </w:p>
    <w:p w:rsidR="00F131C0" w:rsidRDefault="00F131C0" w:rsidP="00E83C77">
      <w:pPr>
        <w:pStyle w:val="111"/>
      </w:pPr>
      <w:r>
        <w:t xml:space="preserve">Несоответствие любого члена </w:t>
      </w:r>
      <w:r w:rsidR="00A04FF5">
        <w:t xml:space="preserve">Коллективного </w:t>
      </w:r>
      <w:r>
        <w:t>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2A5164">
        <w:fldChar w:fldCharType="begin"/>
      </w:r>
      <w:r>
        <w:instrText xml:space="preserve"> REF _Ref456628109 \n \h </w:instrText>
      </w:r>
      <w:r w:rsidR="002A5164">
        <w:fldChar w:fldCharType="separate"/>
      </w:r>
      <w:r w:rsidR="002F6840">
        <w:t>2.4.1</w:t>
      </w:r>
      <w:r w:rsidR="002A5164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 w:rsidR="00A04FF5">
        <w:t xml:space="preserve">Коллективного </w:t>
      </w:r>
      <w:r>
        <w:t>участника такому критерию отбора.</w:t>
      </w:r>
    </w:p>
    <w:p w:rsidR="00B03DE4" w:rsidRDefault="00F072D2" w:rsidP="00833EFC">
      <w:pPr>
        <w:pStyle w:val="1"/>
      </w:pPr>
      <w:bookmarkStart w:id="79" w:name="_Ref1398769"/>
      <w:bookmarkStart w:id="80" w:name="_Toc25849131"/>
      <w:r>
        <w:t>П</w:t>
      </w:r>
      <w:r w:rsidR="00B03DE4">
        <w:t xml:space="preserve">роверка </w:t>
      </w:r>
      <w:r>
        <w:t>Г</w:t>
      </w:r>
      <w:r w:rsidR="00B03DE4">
        <w:t>енеральн</w:t>
      </w:r>
      <w:r>
        <w:t>ого</w:t>
      </w:r>
      <w:r w:rsidR="00B03DE4">
        <w:t xml:space="preserve"> подрядчик</w:t>
      </w:r>
      <w:r>
        <w:t>а</w:t>
      </w:r>
      <w:r w:rsidR="00B03DE4">
        <w:t xml:space="preserve"> с учетом привлекаемых субподрядчиков</w:t>
      </w:r>
      <w:bookmarkEnd w:id="79"/>
      <w:r w:rsidR="00AF5D23">
        <w:rPr>
          <w:rStyle w:val="af2"/>
        </w:rPr>
        <w:footnoteReference w:id="33"/>
      </w:r>
      <w:bookmarkEnd w:id="80"/>
    </w:p>
    <w:p w:rsidR="001209DF" w:rsidRDefault="001209DF" w:rsidP="00833EFC">
      <w:pPr>
        <w:pStyle w:val="11"/>
      </w:pPr>
      <w:bookmarkStart w:id="81" w:name="_Toc25849132"/>
      <w:r>
        <w:t xml:space="preserve">Особенности проверки </w:t>
      </w:r>
      <w:r w:rsidR="00F52B71">
        <w:t xml:space="preserve">Участника, </w:t>
      </w:r>
      <w:r w:rsidR="00F52B71" w:rsidRPr="0075718E">
        <w:t>выступающего Генеральным подрядчиком</w:t>
      </w:r>
      <w:bookmarkEnd w:id="81"/>
    </w:p>
    <w:p w:rsidR="00D75E97" w:rsidRDefault="001209DF" w:rsidP="00D75E97">
      <w:pPr>
        <w:pStyle w:val="111"/>
      </w:pPr>
      <w:r w:rsidRPr="006A292F">
        <w:t>Генеральный подрядчик</w:t>
      </w:r>
      <w:r w:rsidR="00F52B71">
        <w:t>.</w:t>
      </w:r>
      <w:r w:rsidRPr="006A292F">
        <w:t xml:space="preserve"> должен </w:t>
      </w:r>
      <w:r w:rsidR="00D75E97">
        <w:t>соответствовать каждому критерию отбора, установленному в документации о закупке из перечня критериев отбора, установленных пунктом </w:t>
      </w:r>
      <w:r w:rsidR="002A5164">
        <w:fldChar w:fldCharType="begin"/>
      </w:r>
      <w:r w:rsidR="00D75E97">
        <w:instrText xml:space="preserve"> REF _Ref456628109 \n \h </w:instrText>
      </w:r>
      <w:r w:rsidR="002A5164">
        <w:fldChar w:fldCharType="separate"/>
      </w:r>
      <w:r w:rsidR="002F6840">
        <w:t>2.4.1</w:t>
      </w:r>
      <w:r w:rsidR="002A5164">
        <w:fldChar w:fldCharType="end"/>
      </w:r>
      <w:r w:rsidR="00D75E97">
        <w:t xml:space="preserve"> настоящей методики.</w:t>
      </w:r>
    </w:p>
    <w:p w:rsidR="00D75E97" w:rsidRDefault="001209DF" w:rsidP="00D75E97">
      <w:pPr>
        <w:pStyle w:val="111"/>
      </w:pPr>
      <w:r w:rsidRPr="006A292F">
        <w:t xml:space="preserve">Генеральный подрядчик </w:t>
      </w:r>
      <w:r w:rsidR="00D75E97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2A5164">
        <w:fldChar w:fldCharType="begin"/>
      </w:r>
      <w:r w:rsidR="00D75E97">
        <w:instrText xml:space="preserve"> REF _Ref456628758 \n \h </w:instrText>
      </w:r>
      <w:r w:rsidR="002A5164">
        <w:fldChar w:fldCharType="separate"/>
      </w:r>
      <w:r w:rsidR="002F6840">
        <w:t>2.5.1</w:t>
      </w:r>
      <w:r w:rsidR="002A5164">
        <w:fldChar w:fldCharType="end"/>
      </w:r>
      <w:r w:rsidR="00D75E97">
        <w:t xml:space="preserve"> настоящей методики.</w:t>
      </w:r>
    </w:p>
    <w:p w:rsidR="00D75E97" w:rsidRDefault="001209DF">
      <w:pPr>
        <w:pStyle w:val="111"/>
      </w:pPr>
      <w:r w:rsidRPr="006A292F">
        <w:t xml:space="preserve">Генеральный подрядчик </w:t>
      </w:r>
      <w:r w:rsidR="00D75E97">
        <w:t>проверяется на финансовую устойчивость (пункт </w:t>
      </w:r>
      <w:r w:rsidR="002A5164">
        <w:fldChar w:fldCharType="begin"/>
      </w:r>
      <w:r w:rsidR="00D75E97">
        <w:instrText xml:space="preserve"> REF _Ref456628948 \n \h </w:instrText>
      </w:r>
      <w:r w:rsidR="002A5164">
        <w:fldChar w:fldCharType="separate"/>
      </w:r>
      <w:r w:rsidR="002F6840">
        <w:t>2.6</w:t>
      </w:r>
      <w:r w:rsidR="002A5164">
        <w:fldChar w:fldCharType="end"/>
      </w:r>
      <w:r w:rsidR="00D75E97">
        <w:t xml:space="preserve"> настоящей методики). </w:t>
      </w:r>
    </w:p>
    <w:p w:rsidR="00723AF7" w:rsidRPr="00723AF7" w:rsidRDefault="00723AF7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:rsidR="00723AF7" w:rsidRPr="00723AF7" w:rsidRDefault="00723AF7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723AF7" w:rsidRPr="00723AF7" w:rsidRDefault="00723AF7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D75E97" w:rsidRDefault="00D75E97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1B5738">
        <w:t>Генерального подрядчика</w:t>
      </w:r>
      <w:r>
        <w:t xml:space="preserve"> (пункт </w:t>
      </w:r>
      <w:r w:rsidR="002A5164">
        <w:fldChar w:fldCharType="begin"/>
      </w:r>
      <w:r>
        <w:instrText xml:space="preserve"> REF _Ref456629409 \w \h </w:instrText>
      </w:r>
      <w:r w:rsidR="002A5164">
        <w:fldChar w:fldCharType="separate"/>
      </w:r>
      <w:r w:rsidR="002F6840">
        <w:t>2.6.3</w:t>
      </w:r>
      <w:r w:rsidR="002A5164">
        <w:fldChar w:fldCharType="end"/>
      </w:r>
      <w:r w:rsidR="002A5164">
        <w:fldChar w:fldCharType="begin"/>
      </w:r>
      <w:r>
        <w:instrText xml:space="preserve"> REF _Ref456629415 \n \h </w:instrText>
      </w:r>
      <w:r w:rsidR="002A5164">
        <w:fldChar w:fldCharType="separate"/>
      </w:r>
      <w:r w:rsidR="002F6840">
        <w:t>(д)</w:t>
      </w:r>
      <w:r w:rsidR="002A5164">
        <w:fldChar w:fldCharType="end"/>
      </w:r>
      <w:r>
        <w:t xml:space="preserve"> настоящей методики), </w:t>
      </w:r>
      <w:r w:rsidR="0022131D">
        <w:t xml:space="preserve">используется </w:t>
      </w:r>
      <w:r w:rsidRPr="0058183E">
        <w:t>цен</w:t>
      </w:r>
      <w:r w:rsidR="0022131D" w:rsidRPr="0058183E">
        <w:t>а</w:t>
      </w:r>
      <w:r w:rsidRPr="0058183E">
        <w:t xml:space="preserve"> договора, предложенн</w:t>
      </w:r>
      <w:r w:rsidR="0022131D" w:rsidRPr="0058183E">
        <w:t>ая</w:t>
      </w:r>
      <w:r w:rsidRPr="0058183E">
        <w:t xml:space="preserve"> в заявке</w:t>
      </w:r>
      <w:r w:rsidR="0022131D" w:rsidRPr="0058183E">
        <w:t xml:space="preserve"> Участника</w:t>
      </w:r>
      <w:r w:rsidRPr="0058183E">
        <w:t>.</w:t>
      </w:r>
      <w:r>
        <w:t xml:space="preserve"> </w:t>
      </w:r>
    </w:p>
    <w:p w:rsidR="005D7FA8" w:rsidRDefault="00AF5D23" w:rsidP="00F2520A">
      <w:pPr>
        <w:pStyle w:val="10"/>
        <w:numPr>
          <w:ilvl w:val="3"/>
          <w:numId w:val="15"/>
        </w:numPr>
      </w:pPr>
      <w:r>
        <w:t>При расчете финансовых показателей, характеризующих соответствие масштабов деятельности Генерального подрядчика (пункт </w:t>
      </w:r>
      <w:r w:rsidR="002A5164">
        <w:fldChar w:fldCharType="begin"/>
      </w:r>
      <w:r>
        <w:instrText xml:space="preserve"> REF _Ref456629409 \w \h </w:instrText>
      </w:r>
      <w:r w:rsidR="002A5164">
        <w:fldChar w:fldCharType="separate"/>
      </w:r>
      <w:r w:rsidR="002F6840">
        <w:t>2.6.3</w:t>
      </w:r>
      <w:r w:rsidR="002A5164">
        <w:fldChar w:fldCharType="end"/>
      </w:r>
      <w:r w:rsidR="002A5164">
        <w:fldChar w:fldCharType="begin"/>
      </w:r>
      <w:r>
        <w:instrText xml:space="preserve"> REF _Ref456629415 \n \h </w:instrText>
      </w:r>
      <w:r w:rsidR="002A5164">
        <w:fldChar w:fldCharType="separate"/>
      </w:r>
      <w:r w:rsidR="002F6840">
        <w:t>(д)</w:t>
      </w:r>
      <w:r w:rsidR="002A5164">
        <w:fldChar w:fldCharType="end"/>
      </w:r>
      <w:r>
        <w:t xml:space="preserve"> настоящей методики), </w:t>
      </w:r>
      <w:r w:rsidR="0058183E">
        <w:t xml:space="preserve">для закупок, участниками которых могут быть </w:t>
      </w:r>
      <w:r w:rsidR="0058183E">
        <w:lastRenderedPageBreak/>
        <w:t xml:space="preserve">только субъекты МСП, вместо цены договора, предложенной в заявке, используется </w:t>
      </w:r>
      <w:r w:rsidR="0058183E" w:rsidRPr="00FD034B">
        <w:t>значение «Н</w:t>
      </w:r>
      <w:r w:rsidR="0058183E" w:rsidRPr="00B02CCA">
        <w:rPr>
          <w:color w:val="000000" w:themeColor="text1"/>
        </w:rPr>
        <w:t>ачальная (максимальная) цена договора (цена лота)</w:t>
      </w:r>
      <w:r w:rsidR="0058183E" w:rsidRPr="00FD034B">
        <w:t>»</w:t>
      </w:r>
      <w:r>
        <w:t>.</w:t>
      </w:r>
    </w:p>
    <w:p w:rsidR="00D75E97" w:rsidRDefault="00D75E97">
      <w:pPr>
        <w:pStyle w:val="111"/>
      </w:pPr>
      <w:r w:rsidRPr="00D75E97">
        <w:t xml:space="preserve">Несоответствие </w:t>
      </w:r>
      <w:r w:rsidR="0022131D">
        <w:t>Генерального подрядчика</w:t>
      </w:r>
      <w:r w:rsidRPr="00D75E97">
        <w:t xml:space="preserve"> какому-либо критерию отбора, установленному в документации о закупке из перечня критериев отбора, установленных пунктом </w:t>
      </w:r>
      <w:r w:rsidR="003B432C">
        <w:fldChar w:fldCharType="begin"/>
      </w:r>
      <w:r w:rsidR="003B432C">
        <w:instrText xml:space="preserve"> REF _Ref456628109 \n \h  \* MERGEFORMAT </w:instrText>
      </w:r>
      <w:r w:rsidR="003B432C">
        <w:fldChar w:fldCharType="separate"/>
      </w:r>
      <w:r w:rsidR="002F6840">
        <w:t>2.4.1</w:t>
      </w:r>
      <w:r w:rsidR="003B432C">
        <w:fldChar w:fldCharType="end"/>
      </w:r>
      <w:r w:rsidRPr="00D75E97">
        <w:t xml:space="preserve"> настоящей методики, означает несоответствие </w:t>
      </w:r>
      <w:r w:rsidR="0022131D">
        <w:t>У</w:t>
      </w:r>
      <w:r w:rsidRPr="00D75E97">
        <w:t>частника такому критерию отбора.</w:t>
      </w:r>
    </w:p>
    <w:p w:rsidR="001209DF" w:rsidRDefault="001209DF" w:rsidP="00833EFC">
      <w:pPr>
        <w:pStyle w:val="11"/>
      </w:pPr>
      <w:bookmarkStart w:id="82" w:name="_Toc25849133"/>
      <w:r>
        <w:t>Особенности проверки привлекаемых субподрядчиков</w:t>
      </w:r>
      <w:bookmarkEnd w:id="82"/>
    </w:p>
    <w:p w:rsidR="001209DF" w:rsidRDefault="001209DF" w:rsidP="00065504">
      <w:pPr>
        <w:pStyle w:val="111"/>
      </w:pPr>
      <w:r w:rsidRPr="00D75E97">
        <w:t xml:space="preserve">Каждый из привлекаемых субподрядчиков </w:t>
      </w:r>
      <w:r w:rsidRPr="006A292F">
        <w:t xml:space="preserve">должен </w:t>
      </w:r>
      <w:r>
        <w:t>самостоятельно соответствовать каждому критерию отбора, установленному в документации о закупке из перечня критериев отбора, установленных пунктом </w:t>
      </w:r>
      <w:r w:rsidR="002A5164">
        <w:fldChar w:fldCharType="begin"/>
      </w:r>
      <w:r>
        <w:instrText xml:space="preserve"> REF _Ref456628109 \n \h </w:instrText>
      </w:r>
      <w:r w:rsidR="002A5164">
        <w:fldChar w:fldCharType="separate"/>
      </w:r>
      <w:r w:rsidR="002F6840">
        <w:t>2.4.1</w:t>
      </w:r>
      <w:r w:rsidR="002A5164">
        <w:fldChar w:fldCharType="end"/>
      </w:r>
      <w:r>
        <w:t xml:space="preserve"> настоящей методики.</w:t>
      </w:r>
    </w:p>
    <w:p w:rsidR="001209DF" w:rsidRDefault="009B4FBF" w:rsidP="001209DF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по каждому ограничивающему фактору, установленному в документации о закупке из перечня ограничивающих факторов, установленных пунктом </w:t>
      </w:r>
      <w:r w:rsidR="002A5164">
        <w:fldChar w:fldCharType="begin"/>
      </w:r>
      <w:r w:rsidR="001209DF">
        <w:instrText xml:space="preserve"> REF _Ref456628758 \n \h </w:instrText>
      </w:r>
      <w:r w:rsidR="002A5164">
        <w:fldChar w:fldCharType="separate"/>
      </w:r>
      <w:r w:rsidR="002F6840">
        <w:t>2.5.1</w:t>
      </w:r>
      <w:r w:rsidR="002A5164">
        <w:fldChar w:fldCharType="end"/>
      </w:r>
      <w:r w:rsidR="001209DF">
        <w:t xml:space="preserve"> настоящей методики.</w:t>
      </w:r>
    </w:p>
    <w:p w:rsidR="001209DF" w:rsidRDefault="009B4FBF" w:rsidP="00065504">
      <w:pPr>
        <w:pStyle w:val="111"/>
      </w:pPr>
      <w:r w:rsidRPr="00D75E97">
        <w:t xml:space="preserve">Каждый из привлекаемых субподрядчиков </w:t>
      </w:r>
      <w:r w:rsidR="001209DF">
        <w:t>проверяется на финансовую устойчивость (пункт </w:t>
      </w:r>
      <w:r w:rsidR="003B432C">
        <w:fldChar w:fldCharType="begin"/>
      </w:r>
      <w:r w:rsidR="003B432C">
        <w:instrText xml:space="preserve"> REF _Ref456628948 \n \h  \* MERGEFORMAT </w:instrText>
      </w:r>
      <w:r w:rsidR="003B432C">
        <w:fldChar w:fldCharType="separate"/>
      </w:r>
      <w:r w:rsidR="002F6840">
        <w:t>2.6</w:t>
      </w:r>
      <w:r w:rsidR="003B432C">
        <w:fldChar w:fldCharType="end"/>
      </w:r>
      <w:r w:rsidR="001209DF">
        <w:t xml:space="preserve"> настоящей методики)</w:t>
      </w:r>
      <w:r w:rsidR="00D24247">
        <w:t>.</w:t>
      </w:r>
    </w:p>
    <w:p w:rsidR="00AF5D23" w:rsidRPr="00AF5D23" w:rsidRDefault="00AF5D23" w:rsidP="00F2520A">
      <w:pPr>
        <w:pStyle w:val="a8"/>
        <w:numPr>
          <w:ilvl w:val="0"/>
          <w:numId w:val="15"/>
        </w:numPr>
        <w:contextualSpacing w:val="0"/>
        <w:rPr>
          <w:vanish/>
        </w:rPr>
      </w:pPr>
    </w:p>
    <w:p w:rsidR="00AF5D23" w:rsidRPr="00AF5D23" w:rsidRDefault="00AF5D23" w:rsidP="00F2520A">
      <w:pPr>
        <w:pStyle w:val="a8"/>
        <w:numPr>
          <w:ilvl w:val="1"/>
          <w:numId w:val="15"/>
        </w:numPr>
        <w:contextualSpacing w:val="0"/>
        <w:rPr>
          <w:vanish/>
        </w:rPr>
      </w:pPr>
    </w:p>
    <w:p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AF5D23" w:rsidRPr="00AF5D23" w:rsidRDefault="00AF5D23" w:rsidP="00F2520A">
      <w:pPr>
        <w:pStyle w:val="a8"/>
        <w:numPr>
          <w:ilvl w:val="2"/>
          <w:numId w:val="15"/>
        </w:numPr>
        <w:contextualSpacing w:val="0"/>
        <w:rPr>
          <w:vanish/>
        </w:rPr>
      </w:pPr>
    </w:p>
    <w:p w:rsidR="00F52B71" w:rsidRDefault="001209DF" w:rsidP="00F2520A">
      <w:pPr>
        <w:pStyle w:val="10"/>
        <w:numPr>
          <w:ilvl w:val="3"/>
          <w:numId w:val="15"/>
        </w:numPr>
      </w:pPr>
      <w:r>
        <w:t xml:space="preserve">При расчете финансовых показателей, характеризующих соответствие масштабов деятельности </w:t>
      </w:r>
      <w:r w:rsidR="00615772">
        <w:t>С</w:t>
      </w:r>
      <w:r w:rsidR="00F52B71">
        <w:t xml:space="preserve">убподрядчика </w:t>
      </w:r>
      <w:r>
        <w:t>(пункт </w:t>
      </w:r>
      <w:r w:rsidR="003B432C">
        <w:fldChar w:fldCharType="begin"/>
      </w:r>
      <w:r w:rsidR="003B432C">
        <w:instrText xml:space="preserve"> REF _Ref456629409 \w \h  \* MERGEFORMAT </w:instrText>
      </w:r>
      <w:r w:rsidR="003B432C">
        <w:fldChar w:fldCharType="separate"/>
      </w:r>
      <w:r w:rsidR="002F6840">
        <w:t>2.6.3</w:t>
      </w:r>
      <w:r w:rsidR="003B432C">
        <w:fldChar w:fldCharType="end"/>
      </w:r>
      <w:r w:rsidR="003B432C">
        <w:fldChar w:fldCharType="begin"/>
      </w:r>
      <w:r w:rsidR="003B432C">
        <w:instrText xml:space="preserve"> REF _Ref456629415 \n \h  \* MER</w:instrText>
      </w:r>
      <w:r w:rsidR="003B432C">
        <w:instrText xml:space="preserve">GEFORMAT </w:instrText>
      </w:r>
      <w:r w:rsidR="003B432C">
        <w:fldChar w:fldCharType="separate"/>
      </w:r>
      <w:r w:rsidR="002F6840">
        <w:t>(д)</w:t>
      </w:r>
      <w:r w:rsidR="003B432C">
        <w:fldChar w:fldCharType="end"/>
      </w:r>
      <w:r>
        <w:t xml:space="preserve"> настоящей методики), вместо цены договора, предложенной в заявке</w:t>
      </w:r>
      <w:r w:rsidR="0022131D">
        <w:t xml:space="preserve"> Участника</w:t>
      </w:r>
      <w:r>
        <w:t xml:space="preserve">, </w:t>
      </w:r>
      <w:r w:rsidR="00F52B71" w:rsidRPr="0075718E">
        <w:t xml:space="preserve">выступающего Генеральным подрядчиком, </w:t>
      </w:r>
      <w:r>
        <w:t xml:space="preserve">используется объем договорных обязательств соответствующего </w:t>
      </w:r>
      <w:r w:rsidR="005D7FA8">
        <w:t>С</w:t>
      </w:r>
      <w:r w:rsidR="009B4FBF">
        <w:t>убподрядчика</w:t>
      </w:r>
      <w:r>
        <w:t>, выраженный в денежной сумме,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>
        <w:t xml:space="preserve">», либо аналогичного по смыслу документа заявки. </w:t>
      </w:r>
    </w:p>
    <w:p w:rsidR="00B02CCA" w:rsidRDefault="00B02CCA" w:rsidP="00F2520A">
      <w:pPr>
        <w:pStyle w:val="10"/>
        <w:numPr>
          <w:ilvl w:val="3"/>
          <w:numId w:val="15"/>
        </w:numPr>
      </w:pPr>
      <w:r w:rsidRPr="00B02CCA">
        <w:t>При расчете финансовых показателей, характеризующих соответствие масштабов деятельности Участника (</w:t>
      </w:r>
      <w:r w:rsidR="00AF5D23">
        <w:t>пункт </w:t>
      </w:r>
      <w:r w:rsidR="003B432C">
        <w:fldChar w:fldCharType="begin"/>
      </w:r>
      <w:r w:rsidR="003B432C">
        <w:instrText xml:space="preserve"> REF _Ref456629409 \w \h  \* MERGEFORMAT </w:instrText>
      </w:r>
      <w:r w:rsidR="003B432C">
        <w:fldChar w:fldCharType="separate"/>
      </w:r>
      <w:r w:rsidR="002F6840">
        <w:t>2.6.3</w:t>
      </w:r>
      <w:r w:rsidR="003B432C">
        <w:fldChar w:fldCharType="end"/>
      </w:r>
      <w:r w:rsidR="003B432C">
        <w:fldChar w:fldCharType="begin"/>
      </w:r>
      <w:r w:rsidR="003B432C">
        <w:instrText xml:space="preserve"> REF _Ref456629415 \n \h  \* MERGEFORMAT </w:instrText>
      </w:r>
      <w:r w:rsidR="003B432C">
        <w:fldChar w:fldCharType="separate"/>
      </w:r>
      <w:r w:rsidR="002F6840">
        <w:t>(д)</w:t>
      </w:r>
      <w:r w:rsidR="003B432C">
        <w:fldChar w:fldCharType="end"/>
      </w:r>
      <w:r w:rsidR="00AF5D23">
        <w:t xml:space="preserve"> </w:t>
      </w:r>
      <w:r w:rsidRPr="00B02CCA">
        <w:t xml:space="preserve">настоящей методики) для закупок, участниками которых могут быть только субъекты МСП, </w:t>
      </w:r>
      <w:r w:rsidR="00AF5D23">
        <w:t xml:space="preserve">вместо цены договора, предложенной в заявке Участника, </w:t>
      </w:r>
      <w:r w:rsidR="00AF5D23" w:rsidRPr="0075718E">
        <w:t xml:space="preserve">выступающего </w:t>
      </w:r>
      <w:r w:rsidR="00AF5D23" w:rsidRPr="0075718E">
        <w:lastRenderedPageBreak/>
        <w:t xml:space="preserve">Генеральным подрядчиком, </w:t>
      </w:r>
      <w:r w:rsidR="00AF5D23">
        <w:t>используется</w:t>
      </w:r>
      <w:r w:rsidRPr="00B02CCA">
        <w:t xml:space="preserve"> значение «Начальная (максимальная) цена договора (цена лота)»</w:t>
      </w:r>
      <w:r w:rsidR="00AF5D23">
        <w:t>,</w:t>
      </w:r>
      <w:r w:rsidRPr="00B02CCA">
        <w:t xml:space="preserve"> умноженное на объем договорных обязательств соответствующего </w:t>
      </w:r>
      <w:r w:rsidR="005D7FA8">
        <w:t>С</w:t>
      </w:r>
      <w:r>
        <w:t>убподрядчика</w:t>
      </w:r>
      <w:r w:rsidRPr="00B02CCA">
        <w:t>, выраженный в %, согласно документу заявки «</w:t>
      </w:r>
      <w:r w:rsidRPr="006A292F">
        <w:t>План распределения объемов поставки продукции</w:t>
      </w:r>
      <w:r w:rsidRPr="00BA04C6">
        <w:t xml:space="preserve"> между </w:t>
      </w:r>
      <w:r>
        <w:t>Г</w:t>
      </w:r>
      <w:r w:rsidRPr="00BA04C6">
        <w:t>енеральным подрядчиком и субподрядчиками</w:t>
      </w:r>
      <w:r w:rsidRPr="00B02CCA">
        <w:t>», либо аналогичного по смыслу документа заявки.</w:t>
      </w:r>
    </w:p>
    <w:p w:rsidR="00F131C0" w:rsidRPr="0034634F" w:rsidRDefault="001209DF" w:rsidP="00065504">
      <w:pPr>
        <w:pStyle w:val="111"/>
        <w:rPr>
          <w:b/>
        </w:rPr>
      </w:pPr>
      <w:r w:rsidRPr="000D0724">
        <w:t xml:space="preserve">Несоответствие любого </w:t>
      </w:r>
      <w:r w:rsidR="00065504">
        <w:t xml:space="preserve">из </w:t>
      </w:r>
      <w:r w:rsidR="0001689C" w:rsidRPr="00D75E97">
        <w:t xml:space="preserve">привлекаемых субподрядчиков </w:t>
      </w:r>
      <w:r w:rsidRPr="000D0724">
        <w:t>какому-либо критерию отбора, установленному в документации о закупке из перечня критериев отбора, установленных пунктом </w:t>
      </w:r>
      <w:r w:rsidR="003B432C">
        <w:fldChar w:fldCharType="begin"/>
      </w:r>
      <w:r w:rsidR="003B432C">
        <w:instrText xml:space="preserve"> REF _Ref456628109 \n \h  \* MERGEFORMAT</w:instrText>
      </w:r>
      <w:r w:rsidR="003B432C">
        <w:instrText xml:space="preserve"> </w:instrText>
      </w:r>
      <w:r w:rsidR="003B432C">
        <w:fldChar w:fldCharType="separate"/>
      </w:r>
      <w:r w:rsidR="002F6840">
        <w:t>2.4.1</w:t>
      </w:r>
      <w:r w:rsidR="003B432C">
        <w:fldChar w:fldCharType="end"/>
      </w:r>
      <w:r w:rsidRPr="000D0724">
        <w:t xml:space="preserve"> настоящей методики, означает несоответствие данного </w:t>
      </w:r>
      <w:r w:rsidR="0001689C">
        <w:t>У</w:t>
      </w:r>
      <w:r w:rsidRPr="000D0724">
        <w:t>частника такому критерию отбора.</w:t>
      </w:r>
    </w:p>
    <w:p w:rsidR="002E4FDF" w:rsidRDefault="002E4FDF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Fonts w:ascii="Times New Roman" w:hAnsi="Times New Roman"/>
          <w:sz w:val="22"/>
          <w:szCs w:val="22"/>
        </w:rPr>
      </w:pPr>
    </w:p>
    <w:bookmarkStart w:id="83" w:name="_MON_1620498298"/>
    <w:bookmarkEnd w:id="83"/>
    <w:p w:rsidR="002E4FDF" w:rsidRPr="0034634F" w:rsidRDefault="00442C5C" w:rsidP="0034634F">
      <w:pPr>
        <w:pStyle w:val="af0"/>
        <w:tabs>
          <w:tab w:val="left" w:pos="709"/>
        </w:tabs>
        <w:spacing w:before="120"/>
        <w:ind w:left="709" w:hanging="709"/>
        <w:jc w:val="center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2A5164">
        <w:rPr>
          <w:rStyle w:val="af2"/>
          <w:rFonts w:ascii="Times New Roman" w:hAnsi="Times New Roman"/>
          <w:sz w:val="22"/>
          <w:szCs w:val="22"/>
          <w:vertAlign w:val="baseline"/>
        </w:rPr>
        <w:object w:dxaOrig="1680" w:dyaOrig="109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pt;height:54.75pt" o:ole="">
            <v:imagedata r:id="rId12" o:title=""/>
          </v:shape>
          <o:OLEObject Type="Embed" ProgID="Excel.Sheet.12" ShapeID="_x0000_i1025" DrawAspect="Icon" ObjectID="_1642489189" r:id="rId13"/>
        </w:object>
      </w:r>
    </w:p>
    <w:sectPr w:rsidR="002E4FDF" w:rsidRPr="0034634F" w:rsidSect="005D78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32C" w:rsidRDefault="003B432C" w:rsidP="00FA2307">
      <w:pPr>
        <w:spacing w:before="0" w:line="240" w:lineRule="auto"/>
      </w:pPr>
      <w:r>
        <w:separator/>
      </w:r>
    </w:p>
  </w:endnote>
  <w:endnote w:type="continuationSeparator" w:id="0">
    <w:p w:rsidR="003B432C" w:rsidRDefault="003B432C" w:rsidP="00FA2307">
      <w:pPr>
        <w:spacing w:before="0" w:line="240" w:lineRule="auto"/>
      </w:pPr>
      <w:r>
        <w:continuationSeparator/>
      </w:r>
    </w:p>
  </w:endnote>
  <w:endnote w:type="continuationNotice" w:id="1">
    <w:p w:rsidR="003B432C" w:rsidRDefault="003B432C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1869867188"/>
      <w:docPartObj>
        <w:docPartGallery w:val="Page Numbers (Bottom of Page)"/>
        <w:docPartUnique/>
      </w:docPartObj>
    </w:sdtPr>
    <w:sdtEndPr/>
    <w:sdtContent>
      <w:p w:rsidR="003D3FD7" w:rsidRPr="00285F7D" w:rsidRDefault="002A5164" w:rsidP="00285F7D">
        <w:pPr>
          <w:pStyle w:val="af6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3D3FD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E043BF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D7" w:rsidRPr="00285F7D" w:rsidRDefault="003D3FD7" w:rsidP="00285F7D">
    <w:pPr>
      <w:pStyle w:val="af6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32C" w:rsidRDefault="003B432C" w:rsidP="00FA2307">
      <w:pPr>
        <w:spacing w:before="0" w:line="240" w:lineRule="auto"/>
      </w:pPr>
      <w:r>
        <w:separator/>
      </w:r>
    </w:p>
  </w:footnote>
  <w:footnote w:type="continuationSeparator" w:id="0">
    <w:p w:rsidR="003B432C" w:rsidRDefault="003B432C" w:rsidP="00FA2307">
      <w:pPr>
        <w:spacing w:before="0" w:line="240" w:lineRule="auto"/>
      </w:pPr>
      <w:r>
        <w:continuationSeparator/>
      </w:r>
    </w:p>
  </w:footnote>
  <w:footnote w:type="continuationNotice" w:id="1">
    <w:p w:rsidR="003B432C" w:rsidRDefault="003B432C">
      <w:pPr>
        <w:spacing w:before="0" w:line="240" w:lineRule="auto"/>
      </w:pPr>
    </w:p>
  </w:footnote>
  <w:footnote w:id="2">
    <w:p w:rsidR="003D3FD7" w:rsidRPr="00A2368C" w:rsidRDefault="003D3FD7" w:rsidP="00A2368C">
      <w:pPr>
        <w:pStyle w:val="af0"/>
        <w:tabs>
          <w:tab w:val="left" w:pos="709"/>
        </w:tabs>
        <w:ind w:left="709" w:hanging="709"/>
        <w:rPr>
          <w:rFonts w:ascii="Times New Roman" w:hAnsi="Times New Roman"/>
          <w:sz w:val="22"/>
          <w:szCs w:val="22"/>
        </w:rPr>
      </w:pPr>
      <w:r w:rsidRPr="00E1317D">
        <w:rPr>
          <w:rStyle w:val="af2"/>
          <w:rFonts w:ascii="Times New Roman" w:hAnsi="Times New Roman"/>
          <w:sz w:val="22"/>
          <w:szCs w:val="22"/>
        </w:rPr>
        <w:footnoteRef/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ab/>
        <w:t>Проверка актуальности и достоверности предоставленных документов и сведений осуществляется с использованием официальных сервисов органов государственной власти, предусмотренных законодательством Р</w:t>
      </w:r>
      <w:r>
        <w:rPr>
          <w:rFonts w:ascii="Times New Roman" w:hAnsi="Times New Roman"/>
          <w:sz w:val="22"/>
          <w:szCs w:val="22"/>
        </w:rPr>
        <w:t xml:space="preserve">оссийской </w:t>
      </w:r>
      <w:r w:rsidRPr="00E1317D">
        <w:rPr>
          <w:rStyle w:val="af2"/>
          <w:rFonts w:ascii="Times New Roman" w:hAnsi="Times New Roman"/>
          <w:sz w:val="22"/>
          <w:szCs w:val="22"/>
          <w:vertAlign w:val="baseline"/>
        </w:rPr>
        <w:t>Ф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едерации.</w:t>
      </w:r>
    </w:p>
  </w:footnote>
  <w:footnote w:id="3">
    <w:p w:rsidR="003D3FD7" w:rsidRPr="00F65F12" w:rsidRDefault="003D3FD7" w:rsidP="00E10366">
      <w:pPr>
        <w:pStyle w:val="af0"/>
        <w:tabs>
          <w:tab w:val="left" w:pos="709"/>
        </w:tabs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2"/>
          <w:rFonts w:ascii="Times New Roman" w:hAnsi="Times New Roman"/>
          <w:sz w:val="22"/>
          <w:szCs w:val="22"/>
        </w:rPr>
        <w:footnoteRef/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4">
    <w:p w:rsidR="003D3FD7" w:rsidRPr="00F92389" w:rsidRDefault="003D3FD7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рассчитанного финансового показателя округляется методом математического округления до пятнадцатого знака после запятой.</w:t>
      </w:r>
    </w:p>
  </w:footnote>
  <w:footnote w:id="5">
    <w:p w:rsidR="003D3FD7" w:rsidRPr="005565CE" w:rsidRDefault="003D3FD7" w:rsidP="005846F5">
      <w:pPr>
        <w:pStyle w:val="af0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Дробное значение усредненного</w:t>
      </w:r>
      <w:r w:rsidRPr="00337FAC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(средневзвешенного) финансового показателя округляется методом математического округления до пятнадцатого знака после запятой.</w:t>
      </w:r>
    </w:p>
  </w:footnote>
  <w:footnote w:id="6">
    <w:p w:rsidR="003D3FD7" w:rsidRPr="00840CB9" w:rsidRDefault="003D3FD7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7">
    <w:p w:rsidR="003D3FD7" w:rsidRPr="00840CB9" w:rsidRDefault="003D3FD7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8">
    <w:p w:rsidR="003D3FD7" w:rsidRPr="00840CB9" w:rsidRDefault="003D3FD7" w:rsidP="00CE72E9">
      <w:pPr>
        <w:pStyle w:val="af0"/>
        <w:tabs>
          <w:tab w:val="left" w:pos="709"/>
        </w:tabs>
        <w:spacing w:before="6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9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0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1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2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3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4">
    <w:p w:rsidR="003D3FD7" w:rsidRPr="00840CB9" w:rsidRDefault="003D3FD7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5">
    <w:p w:rsidR="003D3FD7" w:rsidRPr="00840CB9" w:rsidRDefault="003D3FD7" w:rsidP="00A95856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6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7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  <w:r>
        <w:rPr>
          <w:rFonts w:ascii="Times New Roman" w:hAnsi="Times New Roman"/>
          <w:sz w:val="22"/>
          <w:szCs w:val="22"/>
        </w:rPr>
        <w:t xml:space="preserve"> Данные по коду строки 2330, заключенные в круглые скобки, включаются в формулу расчета без знака «минус».</w:t>
      </w:r>
    </w:p>
  </w:footnote>
  <w:footnote w:id="18">
    <w:p w:rsidR="003D3FD7" w:rsidRPr="00840CB9" w:rsidRDefault="003D3FD7" w:rsidP="009B50DB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</w:t>
      </w:r>
      <w:r>
        <w:rPr>
          <w:rFonts w:ascii="Times New Roman" w:hAnsi="Times New Roman"/>
          <w:sz w:val="22"/>
          <w:szCs w:val="22"/>
        </w:rPr>
        <w:t xml:space="preserve">: Амортизация = Основные средства/10 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(код строки 1150, форма по ОКУД 0710001)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  <w:footnote w:id="19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20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1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2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3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4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8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9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30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1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2">
    <w:p w:rsidR="003D3FD7" w:rsidRPr="00840CB9" w:rsidRDefault="003D3FD7" w:rsidP="00E31360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  <w:footnote w:id="33">
    <w:p w:rsidR="003D3FD7" w:rsidRPr="00C67910" w:rsidRDefault="003D3FD7" w:rsidP="00AF5D23">
      <w:pPr>
        <w:pStyle w:val="af0"/>
        <w:tabs>
          <w:tab w:val="left" w:pos="709"/>
        </w:tabs>
        <w:spacing w:before="120"/>
        <w:ind w:left="709" w:hanging="709"/>
        <w:rPr>
          <w:rStyle w:val="af2"/>
          <w:rFonts w:ascii="Times New Roman" w:hAnsi="Times New Roman"/>
          <w:sz w:val="22"/>
          <w:szCs w:val="22"/>
          <w:vertAlign w:val="baseline"/>
        </w:rPr>
      </w:pPr>
      <w:r w:rsidRPr="00C67910">
        <w:rPr>
          <w:rStyle w:val="af2"/>
          <w:rFonts w:ascii="Times New Roman" w:hAnsi="Times New Roman"/>
          <w:sz w:val="22"/>
          <w:szCs w:val="22"/>
        </w:rPr>
        <w:footnoteRef/>
      </w:r>
      <w:r w:rsidRPr="00840CB9">
        <w:rPr>
          <w:rStyle w:val="af2"/>
          <w:rFonts w:ascii="Times New Roman" w:hAnsi="Times New Roman"/>
          <w:sz w:val="22"/>
          <w:szCs w:val="22"/>
          <w:vertAlign w:val="baseline"/>
        </w:rPr>
        <w:tab/>
      </w:r>
      <w:r>
        <w:rPr>
          <w:rFonts w:ascii="Times New Roman" w:hAnsi="Times New Roman"/>
          <w:sz w:val="22"/>
          <w:szCs w:val="22"/>
        </w:rPr>
        <w:t>Т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ребования раздела </w:t>
      </w:r>
      <w:r w:rsidR="002A5164">
        <w:rPr>
          <w:rFonts w:ascii="Times New Roman" w:hAnsi="Times New Roman"/>
          <w:sz w:val="22"/>
          <w:szCs w:val="22"/>
        </w:rPr>
        <w:fldChar w:fldCharType="begin"/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instrText xml:space="preserve"> REF _Ref1398769 \r \h </w:instrText>
      </w:r>
      <w:r w:rsidR="002A5164">
        <w:rPr>
          <w:rFonts w:ascii="Times New Roman" w:hAnsi="Times New Roman"/>
          <w:sz w:val="22"/>
          <w:szCs w:val="22"/>
        </w:rPr>
      </w:r>
      <w:r w:rsidR="002A5164">
        <w:rPr>
          <w:rFonts w:ascii="Times New Roman" w:hAnsi="Times New Roman"/>
          <w:sz w:val="22"/>
          <w:szCs w:val="22"/>
        </w:rPr>
        <w:fldChar w:fldCharType="separate"/>
      </w:r>
      <w:r w:rsidR="002F6840">
        <w:rPr>
          <w:rStyle w:val="af2"/>
          <w:rFonts w:ascii="Times New Roman" w:hAnsi="Times New Roman"/>
          <w:sz w:val="22"/>
          <w:szCs w:val="22"/>
          <w:vertAlign w:val="baseline"/>
        </w:rPr>
        <w:t>4</w:t>
      </w:r>
      <w:r w:rsidR="002A5164">
        <w:rPr>
          <w:rFonts w:ascii="Times New Roman" w:hAnsi="Times New Roman"/>
          <w:sz w:val="22"/>
          <w:szCs w:val="22"/>
        </w:rPr>
        <w:fldChar w:fldCharType="end"/>
      </w:r>
      <w:r>
        <w:rPr>
          <w:rFonts w:ascii="Times New Roman" w:hAnsi="Times New Roman"/>
          <w:sz w:val="22"/>
          <w:szCs w:val="22"/>
        </w:rPr>
        <w:t xml:space="preserve"> 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применяются только в случае, если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документацией о закупке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 установлено, что процедура рассмотрения и оценки заявок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у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 xml:space="preserve">частников, выступающих 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г</w:t>
      </w:r>
      <w:r w:rsidRPr="001D053E">
        <w:rPr>
          <w:rStyle w:val="af2"/>
          <w:rFonts w:ascii="Times New Roman" w:hAnsi="Times New Roman"/>
          <w:sz w:val="22"/>
          <w:szCs w:val="22"/>
          <w:vertAlign w:val="baseline"/>
        </w:rPr>
        <w:t>енеральными подрядчиками, осуществляется с учетом привлекаемых субподрядчиков</w:t>
      </w:r>
      <w:r>
        <w:rPr>
          <w:rStyle w:val="af2"/>
          <w:rFonts w:ascii="Times New Roman" w:hAnsi="Times New Roman"/>
          <w:sz w:val="22"/>
          <w:szCs w:val="22"/>
          <w:vertAlign w:val="baseline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D7" w:rsidRDefault="003D3FD7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t xml:space="preserve"> </w:t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</w:p>
  <w:p w:rsidR="003D3FD7" w:rsidRPr="00285F7D" w:rsidRDefault="003D3FD7" w:rsidP="00864608">
    <w:pPr>
      <w:pStyle w:val="af4"/>
      <w:pBdr>
        <w:bottom w:val="single" w:sz="4" w:space="1" w:color="auto"/>
      </w:pBdr>
      <w:jc w:val="center"/>
      <w:rPr>
        <w:sz w:val="22"/>
        <w:szCs w:val="22"/>
      </w:rPr>
    </w:pPr>
    <w:r w:rsidRPr="000A7205">
      <w:rPr>
        <w:sz w:val="22"/>
        <w:szCs w:val="22"/>
      </w:rPr>
      <w:t xml:space="preserve">участников </w:t>
    </w:r>
    <w:r>
      <w:rPr>
        <w:sz w:val="22"/>
        <w:szCs w:val="22"/>
      </w:rPr>
      <w:t>закупочных процедур, проводимых Группой РусГидро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FD7" w:rsidRPr="00285F7D" w:rsidRDefault="003D3FD7" w:rsidP="00285F7D">
    <w:pPr>
      <w:pStyle w:val="af4"/>
      <w:spacing w:after="120"/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7529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 w15:restartNumberingAfterBreak="0">
    <w:nsid w:val="382F1B9D"/>
    <w:multiLevelType w:val="multilevel"/>
    <w:tmpl w:val="61EE3BA2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  <w:b w:val="0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78A395C"/>
    <w:multiLevelType w:val="multilevel"/>
    <w:tmpl w:val="68060A4A"/>
    <w:lvl w:ilvl="0">
      <w:start w:val="1"/>
      <w:numFmt w:val="decimal"/>
      <w:pStyle w:val="1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3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 w15:restartNumberingAfterBreak="0">
    <w:nsid w:val="58F74F6A"/>
    <w:multiLevelType w:val="hybridMultilevel"/>
    <w:tmpl w:val="9B8A7B9C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3633B7"/>
    <w:multiLevelType w:val="hybridMultilevel"/>
    <w:tmpl w:val="44526A7A"/>
    <w:lvl w:ilvl="0" w:tplc="8E9C6BB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5"/>
  </w:num>
  <w:num w:numId="14">
    <w:abstractNumId w:val="4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AC4AD4"/>
    <w:rsid w:val="000032E3"/>
    <w:rsid w:val="00010B28"/>
    <w:rsid w:val="00012112"/>
    <w:rsid w:val="00012B17"/>
    <w:rsid w:val="0001689C"/>
    <w:rsid w:val="00017E4E"/>
    <w:rsid w:val="0002066B"/>
    <w:rsid w:val="00021056"/>
    <w:rsid w:val="000227A2"/>
    <w:rsid w:val="00023C77"/>
    <w:rsid w:val="00027C38"/>
    <w:rsid w:val="00031D72"/>
    <w:rsid w:val="00032DC3"/>
    <w:rsid w:val="00034C78"/>
    <w:rsid w:val="0004334D"/>
    <w:rsid w:val="00045BF9"/>
    <w:rsid w:val="00050A50"/>
    <w:rsid w:val="00050AB1"/>
    <w:rsid w:val="00050FE9"/>
    <w:rsid w:val="000518E5"/>
    <w:rsid w:val="00054873"/>
    <w:rsid w:val="00054CE4"/>
    <w:rsid w:val="00054E8D"/>
    <w:rsid w:val="00057D4A"/>
    <w:rsid w:val="00065504"/>
    <w:rsid w:val="00066440"/>
    <w:rsid w:val="00066AC9"/>
    <w:rsid w:val="00070272"/>
    <w:rsid w:val="00070F9A"/>
    <w:rsid w:val="0007604F"/>
    <w:rsid w:val="000771FB"/>
    <w:rsid w:val="00077850"/>
    <w:rsid w:val="00077CB2"/>
    <w:rsid w:val="00080275"/>
    <w:rsid w:val="00080650"/>
    <w:rsid w:val="000810B7"/>
    <w:rsid w:val="00081467"/>
    <w:rsid w:val="0008271C"/>
    <w:rsid w:val="00083AB8"/>
    <w:rsid w:val="000975A4"/>
    <w:rsid w:val="00097A60"/>
    <w:rsid w:val="000A0D69"/>
    <w:rsid w:val="000A1095"/>
    <w:rsid w:val="000A1E37"/>
    <w:rsid w:val="000A3400"/>
    <w:rsid w:val="000A5155"/>
    <w:rsid w:val="000A7205"/>
    <w:rsid w:val="000B20DB"/>
    <w:rsid w:val="000B30C4"/>
    <w:rsid w:val="000B3BB0"/>
    <w:rsid w:val="000B47E7"/>
    <w:rsid w:val="000B7C27"/>
    <w:rsid w:val="000C2C59"/>
    <w:rsid w:val="000C34D1"/>
    <w:rsid w:val="000C392A"/>
    <w:rsid w:val="000C4E70"/>
    <w:rsid w:val="000C4E80"/>
    <w:rsid w:val="000C664C"/>
    <w:rsid w:val="000D271E"/>
    <w:rsid w:val="000D30C6"/>
    <w:rsid w:val="000D3C45"/>
    <w:rsid w:val="000D56A1"/>
    <w:rsid w:val="000D5DD3"/>
    <w:rsid w:val="000D64BB"/>
    <w:rsid w:val="000E2992"/>
    <w:rsid w:val="000E325F"/>
    <w:rsid w:val="000E34AA"/>
    <w:rsid w:val="000E3801"/>
    <w:rsid w:val="000E38EB"/>
    <w:rsid w:val="000E3B60"/>
    <w:rsid w:val="000E6A91"/>
    <w:rsid w:val="000E78EF"/>
    <w:rsid w:val="000F0EDA"/>
    <w:rsid w:val="000F6198"/>
    <w:rsid w:val="000F6CA7"/>
    <w:rsid w:val="000F774B"/>
    <w:rsid w:val="000F7AAE"/>
    <w:rsid w:val="001002FC"/>
    <w:rsid w:val="00104D95"/>
    <w:rsid w:val="001059F1"/>
    <w:rsid w:val="001064AE"/>
    <w:rsid w:val="00106F80"/>
    <w:rsid w:val="001113AB"/>
    <w:rsid w:val="0011163D"/>
    <w:rsid w:val="0011589E"/>
    <w:rsid w:val="00116825"/>
    <w:rsid w:val="00117BE1"/>
    <w:rsid w:val="001209DF"/>
    <w:rsid w:val="00121038"/>
    <w:rsid w:val="0012428D"/>
    <w:rsid w:val="00127A66"/>
    <w:rsid w:val="001354BA"/>
    <w:rsid w:val="00141C23"/>
    <w:rsid w:val="00144639"/>
    <w:rsid w:val="001453C0"/>
    <w:rsid w:val="00145CE3"/>
    <w:rsid w:val="00146F70"/>
    <w:rsid w:val="00150C01"/>
    <w:rsid w:val="001533FB"/>
    <w:rsid w:val="00153B54"/>
    <w:rsid w:val="00154855"/>
    <w:rsid w:val="00154B32"/>
    <w:rsid w:val="0015680C"/>
    <w:rsid w:val="00161F9E"/>
    <w:rsid w:val="00162735"/>
    <w:rsid w:val="00162C50"/>
    <w:rsid w:val="00163A0E"/>
    <w:rsid w:val="00163A72"/>
    <w:rsid w:val="00163D48"/>
    <w:rsid w:val="00164DA4"/>
    <w:rsid w:val="001653A7"/>
    <w:rsid w:val="001654EB"/>
    <w:rsid w:val="00166151"/>
    <w:rsid w:val="0016659D"/>
    <w:rsid w:val="001679EF"/>
    <w:rsid w:val="00167AC3"/>
    <w:rsid w:val="00170614"/>
    <w:rsid w:val="001713C8"/>
    <w:rsid w:val="001732F6"/>
    <w:rsid w:val="00173FFF"/>
    <w:rsid w:val="0017473F"/>
    <w:rsid w:val="00175658"/>
    <w:rsid w:val="00180D5D"/>
    <w:rsid w:val="00181C8D"/>
    <w:rsid w:val="00181DDC"/>
    <w:rsid w:val="00184492"/>
    <w:rsid w:val="001858A4"/>
    <w:rsid w:val="001862B3"/>
    <w:rsid w:val="0018656B"/>
    <w:rsid w:val="00187D9C"/>
    <w:rsid w:val="00187DF7"/>
    <w:rsid w:val="00187F5B"/>
    <w:rsid w:val="00191362"/>
    <w:rsid w:val="001935B3"/>
    <w:rsid w:val="001955DA"/>
    <w:rsid w:val="0019647B"/>
    <w:rsid w:val="001A29B5"/>
    <w:rsid w:val="001A4AE5"/>
    <w:rsid w:val="001A4C99"/>
    <w:rsid w:val="001A639B"/>
    <w:rsid w:val="001B0091"/>
    <w:rsid w:val="001B3B42"/>
    <w:rsid w:val="001B4B32"/>
    <w:rsid w:val="001B4E48"/>
    <w:rsid w:val="001B5738"/>
    <w:rsid w:val="001B5EE2"/>
    <w:rsid w:val="001B6523"/>
    <w:rsid w:val="001C31ED"/>
    <w:rsid w:val="001C59A4"/>
    <w:rsid w:val="001C7683"/>
    <w:rsid w:val="001C7C91"/>
    <w:rsid w:val="001C7D98"/>
    <w:rsid w:val="001D053E"/>
    <w:rsid w:val="001D0F3E"/>
    <w:rsid w:val="001D6536"/>
    <w:rsid w:val="001E00BB"/>
    <w:rsid w:val="001E1F7D"/>
    <w:rsid w:val="001E485A"/>
    <w:rsid w:val="001E78A2"/>
    <w:rsid w:val="001F20B0"/>
    <w:rsid w:val="001F4310"/>
    <w:rsid w:val="0020155A"/>
    <w:rsid w:val="002045B4"/>
    <w:rsid w:val="00206399"/>
    <w:rsid w:val="002073AD"/>
    <w:rsid w:val="0021266B"/>
    <w:rsid w:val="0021337F"/>
    <w:rsid w:val="0022123E"/>
    <w:rsid w:val="0022131D"/>
    <w:rsid w:val="00221CA2"/>
    <w:rsid w:val="00223C36"/>
    <w:rsid w:val="0022411E"/>
    <w:rsid w:val="00226AB6"/>
    <w:rsid w:val="00226D79"/>
    <w:rsid w:val="00233143"/>
    <w:rsid w:val="0023614A"/>
    <w:rsid w:val="002369A7"/>
    <w:rsid w:val="002410FE"/>
    <w:rsid w:val="002445D2"/>
    <w:rsid w:val="00244B06"/>
    <w:rsid w:val="00245788"/>
    <w:rsid w:val="00246479"/>
    <w:rsid w:val="002501B1"/>
    <w:rsid w:val="00251059"/>
    <w:rsid w:val="002515C5"/>
    <w:rsid w:val="002518DA"/>
    <w:rsid w:val="00251AF5"/>
    <w:rsid w:val="002526C1"/>
    <w:rsid w:val="00252DE9"/>
    <w:rsid w:val="00253F43"/>
    <w:rsid w:val="00254363"/>
    <w:rsid w:val="00257258"/>
    <w:rsid w:val="002601AA"/>
    <w:rsid w:val="0026167A"/>
    <w:rsid w:val="0026215E"/>
    <w:rsid w:val="00265E77"/>
    <w:rsid w:val="002668DB"/>
    <w:rsid w:val="00271339"/>
    <w:rsid w:val="00271C55"/>
    <w:rsid w:val="0027302A"/>
    <w:rsid w:val="0027512C"/>
    <w:rsid w:val="00276B58"/>
    <w:rsid w:val="00285F7D"/>
    <w:rsid w:val="0028601D"/>
    <w:rsid w:val="00292E27"/>
    <w:rsid w:val="002946C1"/>
    <w:rsid w:val="00295B4C"/>
    <w:rsid w:val="00296BA6"/>
    <w:rsid w:val="002A5164"/>
    <w:rsid w:val="002A697B"/>
    <w:rsid w:val="002B0A7E"/>
    <w:rsid w:val="002B2F7D"/>
    <w:rsid w:val="002B33F1"/>
    <w:rsid w:val="002B4771"/>
    <w:rsid w:val="002B4E2F"/>
    <w:rsid w:val="002B63C2"/>
    <w:rsid w:val="002B7DFD"/>
    <w:rsid w:val="002C1B18"/>
    <w:rsid w:val="002C1CE7"/>
    <w:rsid w:val="002C31FD"/>
    <w:rsid w:val="002C7871"/>
    <w:rsid w:val="002D18C1"/>
    <w:rsid w:val="002D28BA"/>
    <w:rsid w:val="002D291B"/>
    <w:rsid w:val="002E1FB5"/>
    <w:rsid w:val="002E4FDF"/>
    <w:rsid w:val="002E5D5F"/>
    <w:rsid w:val="002E6353"/>
    <w:rsid w:val="002E6507"/>
    <w:rsid w:val="002E6532"/>
    <w:rsid w:val="002E7665"/>
    <w:rsid w:val="002F416E"/>
    <w:rsid w:val="002F6840"/>
    <w:rsid w:val="002F7919"/>
    <w:rsid w:val="00300091"/>
    <w:rsid w:val="00301015"/>
    <w:rsid w:val="00305FD6"/>
    <w:rsid w:val="0030733A"/>
    <w:rsid w:val="00310AE8"/>
    <w:rsid w:val="003121FC"/>
    <w:rsid w:val="00314153"/>
    <w:rsid w:val="00314529"/>
    <w:rsid w:val="0031511E"/>
    <w:rsid w:val="00320EA2"/>
    <w:rsid w:val="003252E4"/>
    <w:rsid w:val="003255C8"/>
    <w:rsid w:val="00325BA8"/>
    <w:rsid w:val="00326A66"/>
    <w:rsid w:val="00330274"/>
    <w:rsid w:val="003313BB"/>
    <w:rsid w:val="0033307D"/>
    <w:rsid w:val="00333D3C"/>
    <w:rsid w:val="003349E4"/>
    <w:rsid w:val="00335435"/>
    <w:rsid w:val="00336940"/>
    <w:rsid w:val="00337FAC"/>
    <w:rsid w:val="003404AC"/>
    <w:rsid w:val="00343E7C"/>
    <w:rsid w:val="003459D5"/>
    <w:rsid w:val="0034634F"/>
    <w:rsid w:val="00346E76"/>
    <w:rsid w:val="003523B2"/>
    <w:rsid w:val="003539B4"/>
    <w:rsid w:val="00353CC0"/>
    <w:rsid w:val="003549A6"/>
    <w:rsid w:val="00354C16"/>
    <w:rsid w:val="00357AF0"/>
    <w:rsid w:val="0036324B"/>
    <w:rsid w:val="003660FA"/>
    <w:rsid w:val="0036671F"/>
    <w:rsid w:val="0036766A"/>
    <w:rsid w:val="00367F24"/>
    <w:rsid w:val="0037072D"/>
    <w:rsid w:val="0037188F"/>
    <w:rsid w:val="00373770"/>
    <w:rsid w:val="0037444B"/>
    <w:rsid w:val="003745AD"/>
    <w:rsid w:val="00377F96"/>
    <w:rsid w:val="00381C2D"/>
    <w:rsid w:val="00382366"/>
    <w:rsid w:val="00383F43"/>
    <w:rsid w:val="00390463"/>
    <w:rsid w:val="00390571"/>
    <w:rsid w:val="00392340"/>
    <w:rsid w:val="003945B5"/>
    <w:rsid w:val="00397236"/>
    <w:rsid w:val="003A43C2"/>
    <w:rsid w:val="003B0681"/>
    <w:rsid w:val="003B1112"/>
    <w:rsid w:val="003B230D"/>
    <w:rsid w:val="003B432C"/>
    <w:rsid w:val="003B6D21"/>
    <w:rsid w:val="003B72B4"/>
    <w:rsid w:val="003C09FF"/>
    <w:rsid w:val="003C2421"/>
    <w:rsid w:val="003C36F0"/>
    <w:rsid w:val="003C40EC"/>
    <w:rsid w:val="003C4EE8"/>
    <w:rsid w:val="003C4F16"/>
    <w:rsid w:val="003C773F"/>
    <w:rsid w:val="003D10B7"/>
    <w:rsid w:val="003D3FD7"/>
    <w:rsid w:val="003D5AE4"/>
    <w:rsid w:val="003E0B9F"/>
    <w:rsid w:val="003E28D7"/>
    <w:rsid w:val="003E33DD"/>
    <w:rsid w:val="003E4EE9"/>
    <w:rsid w:val="003E769D"/>
    <w:rsid w:val="003F32B0"/>
    <w:rsid w:val="003F612D"/>
    <w:rsid w:val="003F7974"/>
    <w:rsid w:val="003F79B7"/>
    <w:rsid w:val="00403589"/>
    <w:rsid w:val="00407780"/>
    <w:rsid w:val="00410A7C"/>
    <w:rsid w:val="00414CCC"/>
    <w:rsid w:val="004164D5"/>
    <w:rsid w:val="004206AC"/>
    <w:rsid w:val="00420AAD"/>
    <w:rsid w:val="00421AA6"/>
    <w:rsid w:val="00426377"/>
    <w:rsid w:val="004300C6"/>
    <w:rsid w:val="00430FE8"/>
    <w:rsid w:val="004314F5"/>
    <w:rsid w:val="004316E7"/>
    <w:rsid w:val="00432B52"/>
    <w:rsid w:val="00433537"/>
    <w:rsid w:val="00433F43"/>
    <w:rsid w:val="00436E98"/>
    <w:rsid w:val="00437BD1"/>
    <w:rsid w:val="00437F5D"/>
    <w:rsid w:val="00442314"/>
    <w:rsid w:val="00442C5C"/>
    <w:rsid w:val="00446C20"/>
    <w:rsid w:val="00451557"/>
    <w:rsid w:val="004515CF"/>
    <w:rsid w:val="00453236"/>
    <w:rsid w:val="00455FBD"/>
    <w:rsid w:val="00462D42"/>
    <w:rsid w:val="004713F2"/>
    <w:rsid w:val="00472240"/>
    <w:rsid w:val="0047242C"/>
    <w:rsid w:val="00472D74"/>
    <w:rsid w:val="00473B9B"/>
    <w:rsid w:val="004746E7"/>
    <w:rsid w:val="00483679"/>
    <w:rsid w:val="0048529B"/>
    <w:rsid w:val="00490885"/>
    <w:rsid w:val="00491A73"/>
    <w:rsid w:val="00491EAF"/>
    <w:rsid w:val="00495BF9"/>
    <w:rsid w:val="004A02EA"/>
    <w:rsid w:val="004A3650"/>
    <w:rsid w:val="004A4F98"/>
    <w:rsid w:val="004B30D1"/>
    <w:rsid w:val="004B387D"/>
    <w:rsid w:val="004B4625"/>
    <w:rsid w:val="004C1633"/>
    <w:rsid w:val="004C1676"/>
    <w:rsid w:val="004D087C"/>
    <w:rsid w:val="004D1075"/>
    <w:rsid w:val="004D1F81"/>
    <w:rsid w:val="004D4594"/>
    <w:rsid w:val="004D557F"/>
    <w:rsid w:val="004D5E9A"/>
    <w:rsid w:val="004D71A1"/>
    <w:rsid w:val="004E01EE"/>
    <w:rsid w:val="004E1FFC"/>
    <w:rsid w:val="004E4032"/>
    <w:rsid w:val="004E5B68"/>
    <w:rsid w:val="004E7E4C"/>
    <w:rsid w:val="004F04F0"/>
    <w:rsid w:val="004F1B2E"/>
    <w:rsid w:val="004F1CDD"/>
    <w:rsid w:val="00504C99"/>
    <w:rsid w:val="00504D18"/>
    <w:rsid w:val="00506694"/>
    <w:rsid w:val="00507D7F"/>
    <w:rsid w:val="00511AAB"/>
    <w:rsid w:val="00513524"/>
    <w:rsid w:val="00514EE2"/>
    <w:rsid w:val="0051616D"/>
    <w:rsid w:val="00522E6A"/>
    <w:rsid w:val="005250F5"/>
    <w:rsid w:val="00527A5F"/>
    <w:rsid w:val="00530BD1"/>
    <w:rsid w:val="0054369A"/>
    <w:rsid w:val="005439CD"/>
    <w:rsid w:val="00545115"/>
    <w:rsid w:val="00545634"/>
    <w:rsid w:val="00545810"/>
    <w:rsid w:val="00546782"/>
    <w:rsid w:val="00555ABB"/>
    <w:rsid w:val="0055617D"/>
    <w:rsid w:val="005565CE"/>
    <w:rsid w:val="00557EBF"/>
    <w:rsid w:val="00561095"/>
    <w:rsid w:val="00561EF2"/>
    <w:rsid w:val="00562271"/>
    <w:rsid w:val="00566A8E"/>
    <w:rsid w:val="00566F2D"/>
    <w:rsid w:val="005678B8"/>
    <w:rsid w:val="00571533"/>
    <w:rsid w:val="0057352E"/>
    <w:rsid w:val="00575C03"/>
    <w:rsid w:val="00576F97"/>
    <w:rsid w:val="0058014D"/>
    <w:rsid w:val="005801C6"/>
    <w:rsid w:val="0058183E"/>
    <w:rsid w:val="005846F5"/>
    <w:rsid w:val="0059053B"/>
    <w:rsid w:val="00592E9B"/>
    <w:rsid w:val="00596361"/>
    <w:rsid w:val="0059640F"/>
    <w:rsid w:val="005965B4"/>
    <w:rsid w:val="005A467C"/>
    <w:rsid w:val="005A4E4D"/>
    <w:rsid w:val="005A5074"/>
    <w:rsid w:val="005B2630"/>
    <w:rsid w:val="005B2721"/>
    <w:rsid w:val="005B3955"/>
    <w:rsid w:val="005B591C"/>
    <w:rsid w:val="005B5D05"/>
    <w:rsid w:val="005C006B"/>
    <w:rsid w:val="005C4F4A"/>
    <w:rsid w:val="005C5EB8"/>
    <w:rsid w:val="005C5EC4"/>
    <w:rsid w:val="005D07BE"/>
    <w:rsid w:val="005D0EF2"/>
    <w:rsid w:val="005D2F50"/>
    <w:rsid w:val="005D360E"/>
    <w:rsid w:val="005D5830"/>
    <w:rsid w:val="005D5B19"/>
    <w:rsid w:val="005D60B4"/>
    <w:rsid w:val="005D78FA"/>
    <w:rsid w:val="005D7FA8"/>
    <w:rsid w:val="005E252E"/>
    <w:rsid w:val="005E645D"/>
    <w:rsid w:val="005E784B"/>
    <w:rsid w:val="005E7CAE"/>
    <w:rsid w:val="005F0F3C"/>
    <w:rsid w:val="005F16BB"/>
    <w:rsid w:val="005F22AF"/>
    <w:rsid w:val="005F5091"/>
    <w:rsid w:val="005F50DC"/>
    <w:rsid w:val="005F7E7D"/>
    <w:rsid w:val="00602DE0"/>
    <w:rsid w:val="00603E14"/>
    <w:rsid w:val="00604990"/>
    <w:rsid w:val="00606C18"/>
    <w:rsid w:val="00610603"/>
    <w:rsid w:val="00610D09"/>
    <w:rsid w:val="00611A84"/>
    <w:rsid w:val="0061294E"/>
    <w:rsid w:val="00613A9A"/>
    <w:rsid w:val="00614D6F"/>
    <w:rsid w:val="00615772"/>
    <w:rsid w:val="00616BFE"/>
    <w:rsid w:val="00617200"/>
    <w:rsid w:val="00617934"/>
    <w:rsid w:val="006222AD"/>
    <w:rsid w:val="0062273E"/>
    <w:rsid w:val="006244E5"/>
    <w:rsid w:val="00624F72"/>
    <w:rsid w:val="006254F2"/>
    <w:rsid w:val="0062615D"/>
    <w:rsid w:val="00631DB5"/>
    <w:rsid w:val="00632A55"/>
    <w:rsid w:val="00637B32"/>
    <w:rsid w:val="0064073D"/>
    <w:rsid w:val="00642373"/>
    <w:rsid w:val="006442FE"/>
    <w:rsid w:val="0064489B"/>
    <w:rsid w:val="0065088F"/>
    <w:rsid w:val="00650D0F"/>
    <w:rsid w:val="00651129"/>
    <w:rsid w:val="00651D1F"/>
    <w:rsid w:val="00653546"/>
    <w:rsid w:val="006605AA"/>
    <w:rsid w:val="00661633"/>
    <w:rsid w:val="00662D4A"/>
    <w:rsid w:val="0066405A"/>
    <w:rsid w:val="0066565B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4A5"/>
    <w:rsid w:val="00687803"/>
    <w:rsid w:val="00691627"/>
    <w:rsid w:val="00694C37"/>
    <w:rsid w:val="006968AD"/>
    <w:rsid w:val="006A36AB"/>
    <w:rsid w:val="006B0617"/>
    <w:rsid w:val="006B1D49"/>
    <w:rsid w:val="006B303E"/>
    <w:rsid w:val="006B75AA"/>
    <w:rsid w:val="006C0716"/>
    <w:rsid w:val="006C6BB2"/>
    <w:rsid w:val="006C7CD7"/>
    <w:rsid w:val="006D1D72"/>
    <w:rsid w:val="006D2EFA"/>
    <w:rsid w:val="006D3282"/>
    <w:rsid w:val="006D5C12"/>
    <w:rsid w:val="006D61E7"/>
    <w:rsid w:val="006E0933"/>
    <w:rsid w:val="006E36BB"/>
    <w:rsid w:val="006E4453"/>
    <w:rsid w:val="006E6157"/>
    <w:rsid w:val="006E6387"/>
    <w:rsid w:val="006F1886"/>
    <w:rsid w:val="006F5A23"/>
    <w:rsid w:val="006F7708"/>
    <w:rsid w:val="007005F6"/>
    <w:rsid w:val="0070119A"/>
    <w:rsid w:val="00703184"/>
    <w:rsid w:val="007061B1"/>
    <w:rsid w:val="007113C3"/>
    <w:rsid w:val="007138E8"/>
    <w:rsid w:val="0071562F"/>
    <w:rsid w:val="0071604E"/>
    <w:rsid w:val="00716845"/>
    <w:rsid w:val="00722201"/>
    <w:rsid w:val="00722210"/>
    <w:rsid w:val="00723AF7"/>
    <w:rsid w:val="00723D0E"/>
    <w:rsid w:val="00723E9B"/>
    <w:rsid w:val="00724023"/>
    <w:rsid w:val="00726623"/>
    <w:rsid w:val="0072799A"/>
    <w:rsid w:val="00733319"/>
    <w:rsid w:val="00737AD6"/>
    <w:rsid w:val="00737EE6"/>
    <w:rsid w:val="00741038"/>
    <w:rsid w:val="00741547"/>
    <w:rsid w:val="007457D0"/>
    <w:rsid w:val="007514E9"/>
    <w:rsid w:val="00751F61"/>
    <w:rsid w:val="007530D8"/>
    <w:rsid w:val="00756B43"/>
    <w:rsid w:val="00757110"/>
    <w:rsid w:val="0075718E"/>
    <w:rsid w:val="007636E2"/>
    <w:rsid w:val="00763EE4"/>
    <w:rsid w:val="00764C69"/>
    <w:rsid w:val="00765B0C"/>
    <w:rsid w:val="00765E38"/>
    <w:rsid w:val="00766C55"/>
    <w:rsid w:val="007671C0"/>
    <w:rsid w:val="00770823"/>
    <w:rsid w:val="00773985"/>
    <w:rsid w:val="0077404F"/>
    <w:rsid w:val="00783067"/>
    <w:rsid w:val="00783963"/>
    <w:rsid w:val="00784AD2"/>
    <w:rsid w:val="00790DA3"/>
    <w:rsid w:val="007922F3"/>
    <w:rsid w:val="00792FA8"/>
    <w:rsid w:val="00796A71"/>
    <w:rsid w:val="007A3642"/>
    <w:rsid w:val="007A7580"/>
    <w:rsid w:val="007B094A"/>
    <w:rsid w:val="007B2230"/>
    <w:rsid w:val="007B3517"/>
    <w:rsid w:val="007B45FC"/>
    <w:rsid w:val="007B5E71"/>
    <w:rsid w:val="007B5F21"/>
    <w:rsid w:val="007C4AC9"/>
    <w:rsid w:val="007C508B"/>
    <w:rsid w:val="007C6420"/>
    <w:rsid w:val="007C69B7"/>
    <w:rsid w:val="007D07B8"/>
    <w:rsid w:val="007D1318"/>
    <w:rsid w:val="007D1327"/>
    <w:rsid w:val="007D37DD"/>
    <w:rsid w:val="007D490D"/>
    <w:rsid w:val="007E1853"/>
    <w:rsid w:val="007E1CC2"/>
    <w:rsid w:val="007E3454"/>
    <w:rsid w:val="007E4CB3"/>
    <w:rsid w:val="007E4F40"/>
    <w:rsid w:val="007E5078"/>
    <w:rsid w:val="007E7371"/>
    <w:rsid w:val="007F05E5"/>
    <w:rsid w:val="007F21C2"/>
    <w:rsid w:val="007F254E"/>
    <w:rsid w:val="007F4919"/>
    <w:rsid w:val="007F7F7E"/>
    <w:rsid w:val="00800442"/>
    <w:rsid w:val="008063A0"/>
    <w:rsid w:val="00810AB9"/>
    <w:rsid w:val="00811F8A"/>
    <w:rsid w:val="00813444"/>
    <w:rsid w:val="008170EF"/>
    <w:rsid w:val="00820EF7"/>
    <w:rsid w:val="00833EFC"/>
    <w:rsid w:val="0083403D"/>
    <w:rsid w:val="00834731"/>
    <w:rsid w:val="008355CF"/>
    <w:rsid w:val="00840368"/>
    <w:rsid w:val="00840CB9"/>
    <w:rsid w:val="00841665"/>
    <w:rsid w:val="00843B29"/>
    <w:rsid w:val="00844DEB"/>
    <w:rsid w:val="008477D4"/>
    <w:rsid w:val="00851497"/>
    <w:rsid w:val="00851621"/>
    <w:rsid w:val="00851C66"/>
    <w:rsid w:val="008522E0"/>
    <w:rsid w:val="00857C41"/>
    <w:rsid w:val="008604BB"/>
    <w:rsid w:val="00861172"/>
    <w:rsid w:val="00862477"/>
    <w:rsid w:val="008625B0"/>
    <w:rsid w:val="00864254"/>
    <w:rsid w:val="00864608"/>
    <w:rsid w:val="00866435"/>
    <w:rsid w:val="0086723D"/>
    <w:rsid w:val="00871A7D"/>
    <w:rsid w:val="00871E6F"/>
    <w:rsid w:val="00872918"/>
    <w:rsid w:val="00872D1E"/>
    <w:rsid w:val="008762B7"/>
    <w:rsid w:val="0087691D"/>
    <w:rsid w:val="00876A84"/>
    <w:rsid w:val="00887252"/>
    <w:rsid w:val="00892B8E"/>
    <w:rsid w:val="008930D2"/>
    <w:rsid w:val="00893404"/>
    <w:rsid w:val="00893508"/>
    <w:rsid w:val="00894B03"/>
    <w:rsid w:val="0089572B"/>
    <w:rsid w:val="008A1D11"/>
    <w:rsid w:val="008A3AA5"/>
    <w:rsid w:val="008A6ADA"/>
    <w:rsid w:val="008A6DDD"/>
    <w:rsid w:val="008A7E8E"/>
    <w:rsid w:val="008B1109"/>
    <w:rsid w:val="008B1468"/>
    <w:rsid w:val="008B1CBF"/>
    <w:rsid w:val="008B1F32"/>
    <w:rsid w:val="008B4337"/>
    <w:rsid w:val="008B73BE"/>
    <w:rsid w:val="008C39F7"/>
    <w:rsid w:val="008D72C2"/>
    <w:rsid w:val="008E08AE"/>
    <w:rsid w:val="008E0F41"/>
    <w:rsid w:val="008E27ED"/>
    <w:rsid w:val="008E2AEB"/>
    <w:rsid w:val="008E7774"/>
    <w:rsid w:val="008F13AB"/>
    <w:rsid w:val="008F33DB"/>
    <w:rsid w:val="008F40A0"/>
    <w:rsid w:val="008F6AE2"/>
    <w:rsid w:val="0090012E"/>
    <w:rsid w:val="0090058D"/>
    <w:rsid w:val="00901DBD"/>
    <w:rsid w:val="00903D2F"/>
    <w:rsid w:val="00905581"/>
    <w:rsid w:val="009115A1"/>
    <w:rsid w:val="00913489"/>
    <w:rsid w:val="00913ECE"/>
    <w:rsid w:val="0091452F"/>
    <w:rsid w:val="00914F87"/>
    <w:rsid w:val="00916672"/>
    <w:rsid w:val="009168FD"/>
    <w:rsid w:val="00924CDF"/>
    <w:rsid w:val="00926C73"/>
    <w:rsid w:val="009278E6"/>
    <w:rsid w:val="009307F1"/>
    <w:rsid w:val="0093130F"/>
    <w:rsid w:val="00931647"/>
    <w:rsid w:val="00933AAA"/>
    <w:rsid w:val="00935D6E"/>
    <w:rsid w:val="00941C5C"/>
    <w:rsid w:val="00941CEC"/>
    <w:rsid w:val="00942BE2"/>
    <w:rsid w:val="00950C0A"/>
    <w:rsid w:val="0095139E"/>
    <w:rsid w:val="00954AB9"/>
    <w:rsid w:val="009561B4"/>
    <w:rsid w:val="00970281"/>
    <w:rsid w:val="009717C7"/>
    <w:rsid w:val="00971990"/>
    <w:rsid w:val="00975986"/>
    <w:rsid w:val="009769DC"/>
    <w:rsid w:val="00976B41"/>
    <w:rsid w:val="00984109"/>
    <w:rsid w:val="0098440E"/>
    <w:rsid w:val="009917FB"/>
    <w:rsid w:val="00992D6A"/>
    <w:rsid w:val="009A16A5"/>
    <w:rsid w:val="009A3119"/>
    <w:rsid w:val="009B08D3"/>
    <w:rsid w:val="009B2990"/>
    <w:rsid w:val="009B4FBF"/>
    <w:rsid w:val="009B50DB"/>
    <w:rsid w:val="009B79E0"/>
    <w:rsid w:val="009C1619"/>
    <w:rsid w:val="009C5656"/>
    <w:rsid w:val="009C5CEC"/>
    <w:rsid w:val="009C65BE"/>
    <w:rsid w:val="009C6FC8"/>
    <w:rsid w:val="009D0528"/>
    <w:rsid w:val="009D0F22"/>
    <w:rsid w:val="009D68C7"/>
    <w:rsid w:val="009D73CF"/>
    <w:rsid w:val="009E0627"/>
    <w:rsid w:val="009E0782"/>
    <w:rsid w:val="009E1F8C"/>
    <w:rsid w:val="009E2756"/>
    <w:rsid w:val="009E2DE5"/>
    <w:rsid w:val="009E4804"/>
    <w:rsid w:val="009F2522"/>
    <w:rsid w:val="009F2A1D"/>
    <w:rsid w:val="009F46DC"/>
    <w:rsid w:val="009F522D"/>
    <w:rsid w:val="009F65DA"/>
    <w:rsid w:val="00A04FF5"/>
    <w:rsid w:val="00A0618E"/>
    <w:rsid w:val="00A0667C"/>
    <w:rsid w:val="00A10D2F"/>
    <w:rsid w:val="00A1147D"/>
    <w:rsid w:val="00A12E9B"/>
    <w:rsid w:val="00A12EE1"/>
    <w:rsid w:val="00A14836"/>
    <w:rsid w:val="00A16E08"/>
    <w:rsid w:val="00A20406"/>
    <w:rsid w:val="00A215FC"/>
    <w:rsid w:val="00A2368C"/>
    <w:rsid w:val="00A2482A"/>
    <w:rsid w:val="00A24E53"/>
    <w:rsid w:val="00A263B5"/>
    <w:rsid w:val="00A30517"/>
    <w:rsid w:val="00A326A1"/>
    <w:rsid w:val="00A32CC5"/>
    <w:rsid w:val="00A34592"/>
    <w:rsid w:val="00A35952"/>
    <w:rsid w:val="00A41065"/>
    <w:rsid w:val="00A424AD"/>
    <w:rsid w:val="00A42A4E"/>
    <w:rsid w:val="00A43032"/>
    <w:rsid w:val="00A47529"/>
    <w:rsid w:val="00A53D61"/>
    <w:rsid w:val="00A54353"/>
    <w:rsid w:val="00A54588"/>
    <w:rsid w:val="00A5538E"/>
    <w:rsid w:val="00A55FB4"/>
    <w:rsid w:val="00A57A2B"/>
    <w:rsid w:val="00A6092B"/>
    <w:rsid w:val="00A62586"/>
    <w:rsid w:val="00A67B7E"/>
    <w:rsid w:val="00A70D52"/>
    <w:rsid w:val="00A75191"/>
    <w:rsid w:val="00A77163"/>
    <w:rsid w:val="00A82267"/>
    <w:rsid w:val="00A84A3F"/>
    <w:rsid w:val="00A84E10"/>
    <w:rsid w:val="00A87423"/>
    <w:rsid w:val="00A87C7E"/>
    <w:rsid w:val="00A9081E"/>
    <w:rsid w:val="00A922EA"/>
    <w:rsid w:val="00A9261B"/>
    <w:rsid w:val="00A927F6"/>
    <w:rsid w:val="00A92F70"/>
    <w:rsid w:val="00A95856"/>
    <w:rsid w:val="00A95B53"/>
    <w:rsid w:val="00AA00D6"/>
    <w:rsid w:val="00AA19EB"/>
    <w:rsid w:val="00AA23B6"/>
    <w:rsid w:val="00AA3370"/>
    <w:rsid w:val="00AA3644"/>
    <w:rsid w:val="00AA3D6C"/>
    <w:rsid w:val="00AA7BE7"/>
    <w:rsid w:val="00AB2F24"/>
    <w:rsid w:val="00AB37E3"/>
    <w:rsid w:val="00AB58E7"/>
    <w:rsid w:val="00AB74AB"/>
    <w:rsid w:val="00AC3756"/>
    <w:rsid w:val="00AC4AD4"/>
    <w:rsid w:val="00AC5BEB"/>
    <w:rsid w:val="00AC67DC"/>
    <w:rsid w:val="00AD02D7"/>
    <w:rsid w:val="00AD14E4"/>
    <w:rsid w:val="00AD3EAF"/>
    <w:rsid w:val="00AD5EB1"/>
    <w:rsid w:val="00AD7676"/>
    <w:rsid w:val="00AE0225"/>
    <w:rsid w:val="00AE1CE2"/>
    <w:rsid w:val="00AE1E95"/>
    <w:rsid w:val="00AE2741"/>
    <w:rsid w:val="00AE3325"/>
    <w:rsid w:val="00AE509D"/>
    <w:rsid w:val="00AF2B38"/>
    <w:rsid w:val="00AF3F0A"/>
    <w:rsid w:val="00AF5D23"/>
    <w:rsid w:val="00AF5F29"/>
    <w:rsid w:val="00B0128D"/>
    <w:rsid w:val="00B02CCA"/>
    <w:rsid w:val="00B03DE4"/>
    <w:rsid w:val="00B042E7"/>
    <w:rsid w:val="00B04B0B"/>
    <w:rsid w:val="00B056AC"/>
    <w:rsid w:val="00B061B5"/>
    <w:rsid w:val="00B10056"/>
    <w:rsid w:val="00B1055E"/>
    <w:rsid w:val="00B11020"/>
    <w:rsid w:val="00B120CC"/>
    <w:rsid w:val="00B12C30"/>
    <w:rsid w:val="00B1532D"/>
    <w:rsid w:val="00B22200"/>
    <w:rsid w:val="00B22FFC"/>
    <w:rsid w:val="00B25B9F"/>
    <w:rsid w:val="00B26408"/>
    <w:rsid w:val="00B270D4"/>
    <w:rsid w:val="00B27F5E"/>
    <w:rsid w:val="00B31E9C"/>
    <w:rsid w:val="00B33746"/>
    <w:rsid w:val="00B35081"/>
    <w:rsid w:val="00B36514"/>
    <w:rsid w:val="00B40079"/>
    <w:rsid w:val="00B434F8"/>
    <w:rsid w:val="00B453F3"/>
    <w:rsid w:val="00B47734"/>
    <w:rsid w:val="00B51C9E"/>
    <w:rsid w:val="00B523B2"/>
    <w:rsid w:val="00B56C80"/>
    <w:rsid w:val="00B601E0"/>
    <w:rsid w:val="00B61A9B"/>
    <w:rsid w:val="00B62CD7"/>
    <w:rsid w:val="00B635BF"/>
    <w:rsid w:val="00B65DED"/>
    <w:rsid w:val="00B700E8"/>
    <w:rsid w:val="00B743DB"/>
    <w:rsid w:val="00B74F74"/>
    <w:rsid w:val="00B80F18"/>
    <w:rsid w:val="00B848B5"/>
    <w:rsid w:val="00B8545F"/>
    <w:rsid w:val="00B859B2"/>
    <w:rsid w:val="00B87947"/>
    <w:rsid w:val="00B928E7"/>
    <w:rsid w:val="00B95BAA"/>
    <w:rsid w:val="00B96C55"/>
    <w:rsid w:val="00B96FD6"/>
    <w:rsid w:val="00BA269F"/>
    <w:rsid w:val="00BA422A"/>
    <w:rsid w:val="00BA5A28"/>
    <w:rsid w:val="00BA67A6"/>
    <w:rsid w:val="00BA6A02"/>
    <w:rsid w:val="00BA73B6"/>
    <w:rsid w:val="00BB0C6E"/>
    <w:rsid w:val="00BB287E"/>
    <w:rsid w:val="00BB4815"/>
    <w:rsid w:val="00BC1046"/>
    <w:rsid w:val="00BC1C17"/>
    <w:rsid w:val="00BC2813"/>
    <w:rsid w:val="00BC3C34"/>
    <w:rsid w:val="00BC40A1"/>
    <w:rsid w:val="00BD1340"/>
    <w:rsid w:val="00BD2DCD"/>
    <w:rsid w:val="00BD45DE"/>
    <w:rsid w:val="00BD6BC5"/>
    <w:rsid w:val="00BE0CD1"/>
    <w:rsid w:val="00BE3E8B"/>
    <w:rsid w:val="00BE5D6E"/>
    <w:rsid w:val="00BE6828"/>
    <w:rsid w:val="00BE741B"/>
    <w:rsid w:val="00BE7C6F"/>
    <w:rsid w:val="00BF0471"/>
    <w:rsid w:val="00BF0F55"/>
    <w:rsid w:val="00BF2108"/>
    <w:rsid w:val="00BF33DB"/>
    <w:rsid w:val="00BF4BE3"/>
    <w:rsid w:val="00BF7769"/>
    <w:rsid w:val="00C02089"/>
    <w:rsid w:val="00C02695"/>
    <w:rsid w:val="00C03739"/>
    <w:rsid w:val="00C05EE0"/>
    <w:rsid w:val="00C06D44"/>
    <w:rsid w:val="00C07626"/>
    <w:rsid w:val="00C07E3A"/>
    <w:rsid w:val="00C13397"/>
    <w:rsid w:val="00C137B8"/>
    <w:rsid w:val="00C13E26"/>
    <w:rsid w:val="00C1653E"/>
    <w:rsid w:val="00C1698C"/>
    <w:rsid w:val="00C17D17"/>
    <w:rsid w:val="00C21013"/>
    <w:rsid w:val="00C21357"/>
    <w:rsid w:val="00C21BDF"/>
    <w:rsid w:val="00C26609"/>
    <w:rsid w:val="00C26748"/>
    <w:rsid w:val="00C268A3"/>
    <w:rsid w:val="00C30794"/>
    <w:rsid w:val="00C30D73"/>
    <w:rsid w:val="00C33EFB"/>
    <w:rsid w:val="00C34816"/>
    <w:rsid w:val="00C350DE"/>
    <w:rsid w:val="00C379EF"/>
    <w:rsid w:val="00C40501"/>
    <w:rsid w:val="00C406C9"/>
    <w:rsid w:val="00C456BC"/>
    <w:rsid w:val="00C52B49"/>
    <w:rsid w:val="00C5315A"/>
    <w:rsid w:val="00C531AF"/>
    <w:rsid w:val="00C55103"/>
    <w:rsid w:val="00C563F5"/>
    <w:rsid w:val="00C629AC"/>
    <w:rsid w:val="00C639B4"/>
    <w:rsid w:val="00C63CAC"/>
    <w:rsid w:val="00C64447"/>
    <w:rsid w:val="00C64A1B"/>
    <w:rsid w:val="00C67910"/>
    <w:rsid w:val="00C71B51"/>
    <w:rsid w:val="00C71B80"/>
    <w:rsid w:val="00C72928"/>
    <w:rsid w:val="00C74BD1"/>
    <w:rsid w:val="00C77842"/>
    <w:rsid w:val="00C77882"/>
    <w:rsid w:val="00C8005C"/>
    <w:rsid w:val="00C83342"/>
    <w:rsid w:val="00C83D03"/>
    <w:rsid w:val="00C849B7"/>
    <w:rsid w:val="00C87069"/>
    <w:rsid w:val="00C87439"/>
    <w:rsid w:val="00C93939"/>
    <w:rsid w:val="00C953DC"/>
    <w:rsid w:val="00C96E2F"/>
    <w:rsid w:val="00C97D43"/>
    <w:rsid w:val="00CA299E"/>
    <w:rsid w:val="00CA6760"/>
    <w:rsid w:val="00CA70ED"/>
    <w:rsid w:val="00CA7C62"/>
    <w:rsid w:val="00CB0A25"/>
    <w:rsid w:val="00CB2350"/>
    <w:rsid w:val="00CB30D0"/>
    <w:rsid w:val="00CB38C5"/>
    <w:rsid w:val="00CB5580"/>
    <w:rsid w:val="00CB5A43"/>
    <w:rsid w:val="00CB6CF8"/>
    <w:rsid w:val="00CC27E4"/>
    <w:rsid w:val="00CC2D65"/>
    <w:rsid w:val="00CC4AA2"/>
    <w:rsid w:val="00CC5A1E"/>
    <w:rsid w:val="00CC5ED7"/>
    <w:rsid w:val="00CC6931"/>
    <w:rsid w:val="00CD33FC"/>
    <w:rsid w:val="00CD495A"/>
    <w:rsid w:val="00CD4F74"/>
    <w:rsid w:val="00CD5C7C"/>
    <w:rsid w:val="00CD63D7"/>
    <w:rsid w:val="00CD727D"/>
    <w:rsid w:val="00CD7968"/>
    <w:rsid w:val="00CE020F"/>
    <w:rsid w:val="00CE061E"/>
    <w:rsid w:val="00CE4EA8"/>
    <w:rsid w:val="00CE5A19"/>
    <w:rsid w:val="00CE72E9"/>
    <w:rsid w:val="00CF50DE"/>
    <w:rsid w:val="00CF5D76"/>
    <w:rsid w:val="00D02249"/>
    <w:rsid w:val="00D022DE"/>
    <w:rsid w:val="00D0301E"/>
    <w:rsid w:val="00D03D05"/>
    <w:rsid w:val="00D064CD"/>
    <w:rsid w:val="00D1123F"/>
    <w:rsid w:val="00D138DD"/>
    <w:rsid w:val="00D15285"/>
    <w:rsid w:val="00D173AF"/>
    <w:rsid w:val="00D202F2"/>
    <w:rsid w:val="00D20C4D"/>
    <w:rsid w:val="00D21CED"/>
    <w:rsid w:val="00D24247"/>
    <w:rsid w:val="00D25FDE"/>
    <w:rsid w:val="00D26FC9"/>
    <w:rsid w:val="00D27510"/>
    <w:rsid w:val="00D27D52"/>
    <w:rsid w:val="00D27EFA"/>
    <w:rsid w:val="00D307EE"/>
    <w:rsid w:val="00D31BC4"/>
    <w:rsid w:val="00D333ED"/>
    <w:rsid w:val="00D33E3C"/>
    <w:rsid w:val="00D41FF9"/>
    <w:rsid w:val="00D42E1D"/>
    <w:rsid w:val="00D50B0D"/>
    <w:rsid w:val="00D50D28"/>
    <w:rsid w:val="00D528EE"/>
    <w:rsid w:val="00D52ECD"/>
    <w:rsid w:val="00D55701"/>
    <w:rsid w:val="00D56A8A"/>
    <w:rsid w:val="00D578B3"/>
    <w:rsid w:val="00D62FA8"/>
    <w:rsid w:val="00D632E2"/>
    <w:rsid w:val="00D63C37"/>
    <w:rsid w:val="00D64776"/>
    <w:rsid w:val="00D66A86"/>
    <w:rsid w:val="00D67026"/>
    <w:rsid w:val="00D67B89"/>
    <w:rsid w:val="00D70ADE"/>
    <w:rsid w:val="00D73A66"/>
    <w:rsid w:val="00D73C5E"/>
    <w:rsid w:val="00D75E97"/>
    <w:rsid w:val="00D80B9F"/>
    <w:rsid w:val="00D80FF5"/>
    <w:rsid w:val="00D81E11"/>
    <w:rsid w:val="00D84087"/>
    <w:rsid w:val="00D904F6"/>
    <w:rsid w:val="00D936E7"/>
    <w:rsid w:val="00DA209F"/>
    <w:rsid w:val="00DA34E2"/>
    <w:rsid w:val="00DA5DE7"/>
    <w:rsid w:val="00DB2DE0"/>
    <w:rsid w:val="00DB2E72"/>
    <w:rsid w:val="00DB39A7"/>
    <w:rsid w:val="00DB67BD"/>
    <w:rsid w:val="00DB75E2"/>
    <w:rsid w:val="00DB7D04"/>
    <w:rsid w:val="00DC015F"/>
    <w:rsid w:val="00DC1BCF"/>
    <w:rsid w:val="00DC4772"/>
    <w:rsid w:val="00DC66FD"/>
    <w:rsid w:val="00DD1221"/>
    <w:rsid w:val="00DD1DB3"/>
    <w:rsid w:val="00DD480C"/>
    <w:rsid w:val="00DD6C45"/>
    <w:rsid w:val="00DD70C8"/>
    <w:rsid w:val="00DE295B"/>
    <w:rsid w:val="00DE311A"/>
    <w:rsid w:val="00DE401D"/>
    <w:rsid w:val="00DE46D0"/>
    <w:rsid w:val="00DE495E"/>
    <w:rsid w:val="00DE63C6"/>
    <w:rsid w:val="00DF1B8C"/>
    <w:rsid w:val="00DF3E42"/>
    <w:rsid w:val="00DF5C7F"/>
    <w:rsid w:val="00DF7ECB"/>
    <w:rsid w:val="00E016D9"/>
    <w:rsid w:val="00E0221E"/>
    <w:rsid w:val="00E043BF"/>
    <w:rsid w:val="00E10366"/>
    <w:rsid w:val="00E1317D"/>
    <w:rsid w:val="00E148BE"/>
    <w:rsid w:val="00E14901"/>
    <w:rsid w:val="00E14A87"/>
    <w:rsid w:val="00E170D6"/>
    <w:rsid w:val="00E20F42"/>
    <w:rsid w:val="00E2131F"/>
    <w:rsid w:val="00E214AA"/>
    <w:rsid w:val="00E22DF6"/>
    <w:rsid w:val="00E23B8D"/>
    <w:rsid w:val="00E256F2"/>
    <w:rsid w:val="00E2654C"/>
    <w:rsid w:val="00E26B3B"/>
    <w:rsid w:val="00E31360"/>
    <w:rsid w:val="00E34958"/>
    <w:rsid w:val="00E3670D"/>
    <w:rsid w:val="00E3744E"/>
    <w:rsid w:val="00E40811"/>
    <w:rsid w:val="00E52C50"/>
    <w:rsid w:val="00E538D7"/>
    <w:rsid w:val="00E54AD1"/>
    <w:rsid w:val="00E579FC"/>
    <w:rsid w:val="00E609E2"/>
    <w:rsid w:val="00E60D95"/>
    <w:rsid w:val="00E628A5"/>
    <w:rsid w:val="00E67C12"/>
    <w:rsid w:val="00E702DA"/>
    <w:rsid w:val="00E77823"/>
    <w:rsid w:val="00E804FC"/>
    <w:rsid w:val="00E808A2"/>
    <w:rsid w:val="00E8377C"/>
    <w:rsid w:val="00E83C77"/>
    <w:rsid w:val="00E83F18"/>
    <w:rsid w:val="00E849AF"/>
    <w:rsid w:val="00E85685"/>
    <w:rsid w:val="00E856C6"/>
    <w:rsid w:val="00E904A6"/>
    <w:rsid w:val="00E93EA8"/>
    <w:rsid w:val="00E95B42"/>
    <w:rsid w:val="00E974A3"/>
    <w:rsid w:val="00E975B9"/>
    <w:rsid w:val="00EA0E59"/>
    <w:rsid w:val="00EA3028"/>
    <w:rsid w:val="00EA3358"/>
    <w:rsid w:val="00EA6310"/>
    <w:rsid w:val="00EA68DA"/>
    <w:rsid w:val="00EB1D82"/>
    <w:rsid w:val="00EB3E9F"/>
    <w:rsid w:val="00EB7437"/>
    <w:rsid w:val="00EC334F"/>
    <w:rsid w:val="00EC398C"/>
    <w:rsid w:val="00EC708F"/>
    <w:rsid w:val="00ED1551"/>
    <w:rsid w:val="00ED2E9A"/>
    <w:rsid w:val="00ED5C79"/>
    <w:rsid w:val="00EE039F"/>
    <w:rsid w:val="00EE5615"/>
    <w:rsid w:val="00EE6917"/>
    <w:rsid w:val="00EE71FE"/>
    <w:rsid w:val="00EF11C6"/>
    <w:rsid w:val="00EF126F"/>
    <w:rsid w:val="00EF193D"/>
    <w:rsid w:val="00EF333F"/>
    <w:rsid w:val="00EF3921"/>
    <w:rsid w:val="00EF46E4"/>
    <w:rsid w:val="00EF5FE3"/>
    <w:rsid w:val="00EF6A0F"/>
    <w:rsid w:val="00F00853"/>
    <w:rsid w:val="00F00899"/>
    <w:rsid w:val="00F04A4A"/>
    <w:rsid w:val="00F04FE2"/>
    <w:rsid w:val="00F05283"/>
    <w:rsid w:val="00F06372"/>
    <w:rsid w:val="00F072D2"/>
    <w:rsid w:val="00F12B56"/>
    <w:rsid w:val="00F131C0"/>
    <w:rsid w:val="00F1420D"/>
    <w:rsid w:val="00F15DE1"/>
    <w:rsid w:val="00F173C9"/>
    <w:rsid w:val="00F2520A"/>
    <w:rsid w:val="00F32462"/>
    <w:rsid w:val="00F377FE"/>
    <w:rsid w:val="00F41102"/>
    <w:rsid w:val="00F43E24"/>
    <w:rsid w:val="00F50546"/>
    <w:rsid w:val="00F50BD9"/>
    <w:rsid w:val="00F5118B"/>
    <w:rsid w:val="00F52B71"/>
    <w:rsid w:val="00F52CAC"/>
    <w:rsid w:val="00F57A4E"/>
    <w:rsid w:val="00F6286F"/>
    <w:rsid w:val="00F62CF3"/>
    <w:rsid w:val="00F63CCC"/>
    <w:rsid w:val="00F6485B"/>
    <w:rsid w:val="00F649A3"/>
    <w:rsid w:val="00F64C6D"/>
    <w:rsid w:val="00F67341"/>
    <w:rsid w:val="00F71D9D"/>
    <w:rsid w:val="00F736F8"/>
    <w:rsid w:val="00F75F1D"/>
    <w:rsid w:val="00F802C9"/>
    <w:rsid w:val="00F80B73"/>
    <w:rsid w:val="00F8162E"/>
    <w:rsid w:val="00F82EAC"/>
    <w:rsid w:val="00F83CBE"/>
    <w:rsid w:val="00F85688"/>
    <w:rsid w:val="00F8681F"/>
    <w:rsid w:val="00F875D4"/>
    <w:rsid w:val="00F912D6"/>
    <w:rsid w:val="00F91ECC"/>
    <w:rsid w:val="00F92389"/>
    <w:rsid w:val="00F93984"/>
    <w:rsid w:val="00F96020"/>
    <w:rsid w:val="00F971F9"/>
    <w:rsid w:val="00FA2307"/>
    <w:rsid w:val="00FA4E25"/>
    <w:rsid w:val="00FA55EF"/>
    <w:rsid w:val="00FA67EF"/>
    <w:rsid w:val="00FA71DC"/>
    <w:rsid w:val="00FB1B8A"/>
    <w:rsid w:val="00FB2781"/>
    <w:rsid w:val="00FB3206"/>
    <w:rsid w:val="00FB5433"/>
    <w:rsid w:val="00FB59B4"/>
    <w:rsid w:val="00FB6407"/>
    <w:rsid w:val="00FC3AE3"/>
    <w:rsid w:val="00FC4F45"/>
    <w:rsid w:val="00FC5ABF"/>
    <w:rsid w:val="00FC6ED1"/>
    <w:rsid w:val="00FD10F3"/>
    <w:rsid w:val="00FD41AD"/>
    <w:rsid w:val="00FD5E13"/>
    <w:rsid w:val="00FD6FA2"/>
    <w:rsid w:val="00FD7B5F"/>
    <w:rsid w:val="00FE17D4"/>
    <w:rsid w:val="00FE2ACC"/>
    <w:rsid w:val="00FE2BEF"/>
    <w:rsid w:val="00FF07DC"/>
    <w:rsid w:val="00FF35F9"/>
    <w:rsid w:val="00FF3B09"/>
    <w:rsid w:val="00F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FECE615-92B2-47B3-86A3-862D162A9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4">
    <w:name w:val="Normal"/>
    <w:qFormat/>
    <w:rsid w:val="002A5164"/>
  </w:style>
  <w:style w:type="paragraph" w:styleId="12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4"/>
    <w:next w:val="a4"/>
    <w:link w:val="13"/>
    <w:qFormat/>
    <w:rsid w:val="00C21357"/>
    <w:pPr>
      <w:keepNext/>
      <w:keepLines/>
      <w:pageBreakBefore/>
      <w:numPr>
        <w:numId w:val="12"/>
      </w:numPr>
      <w:suppressAutoHyphens/>
      <w:spacing w:before="480" w:after="240" w:line="240" w:lineRule="auto"/>
      <w:jc w:val="left"/>
      <w:outlineLvl w:val="0"/>
    </w:pPr>
    <w:rPr>
      <w:rFonts w:ascii="Arial" w:eastAsia="Times New Roman" w:hAnsi="Arial"/>
      <w:b/>
      <w:kern w:val="28"/>
      <w:sz w:val="40"/>
      <w:szCs w:val="26"/>
      <w:lang w:eastAsia="ru-RU"/>
    </w:rPr>
  </w:style>
  <w:style w:type="paragraph" w:styleId="20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"/>
    <w:basedOn w:val="a4"/>
    <w:next w:val="a4"/>
    <w:link w:val="21"/>
    <w:qFormat/>
    <w:rsid w:val="001E485A"/>
    <w:pPr>
      <w:keepNext/>
      <w:numPr>
        <w:ilvl w:val="1"/>
        <w:numId w:val="12"/>
      </w:numPr>
      <w:suppressAutoHyphens/>
      <w:spacing w:before="360" w:after="120" w:line="240" w:lineRule="auto"/>
      <w:jc w:val="left"/>
      <w:outlineLvl w:val="1"/>
    </w:pPr>
    <w:rPr>
      <w:rFonts w:eastAsia="Times New Roman"/>
      <w:b/>
      <w:snapToGrid w:val="0"/>
      <w:sz w:val="32"/>
      <w:szCs w:val="26"/>
      <w:lang w:eastAsia="ru-RU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61294E"/>
    <w:pPr>
      <w:ind w:left="720"/>
      <w:contextualSpacing/>
    </w:pPr>
  </w:style>
  <w:style w:type="table" w:styleId="aa">
    <w:name w:val="Table Grid"/>
    <w:basedOn w:val="a6"/>
    <w:uiPriority w:val="59"/>
    <w:rsid w:val="00C456BC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УРОВЕНЬ_1."/>
    <w:basedOn w:val="a8"/>
    <w:link w:val="14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8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9">
    <w:name w:val="Абзац списка Знак"/>
    <w:basedOn w:val="a5"/>
    <w:link w:val="a8"/>
    <w:uiPriority w:val="34"/>
    <w:rsid w:val="00D138DD"/>
  </w:style>
  <w:style w:type="character" w:customStyle="1" w:styleId="14">
    <w:name w:val="УРОВЕНЬ_1. Знак"/>
    <w:basedOn w:val="a9"/>
    <w:link w:val="1"/>
    <w:rsid w:val="00C34816"/>
    <w:rPr>
      <w:b/>
      <w:caps/>
    </w:rPr>
  </w:style>
  <w:style w:type="paragraph" w:customStyle="1" w:styleId="111">
    <w:name w:val="УРОВЕНЬ_1.1.1."/>
    <w:basedOn w:val="a8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9"/>
    <w:link w:val="11"/>
    <w:rsid w:val="00C34816"/>
    <w:rPr>
      <w:b/>
    </w:rPr>
  </w:style>
  <w:style w:type="paragraph" w:customStyle="1" w:styleId="a">
    <w:name w:val="УРОВЕНЬ_(а)"/>
    <w:basedOn w:val="a8"/>
    <w:link w:val="ab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9"/>
    <w:link w:val="111"/>
    <w:rsid w:val="00C34816"/>
  </w:style>
  <w:style w:type="paragraph" w:customStyle="1" w:styleId="-">
    <w:name w:val="УРОВЕНЬ_-"/>
    <w:basedOn w:val="a8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b">
    <w:name w:val="УРОВЕНЬ_(а) Знак"/>
    <w:basedOn w:val="a9"/>
    <w:link w:val="a"/>
    <w:rsid w:val="00C34816"/>
  </w:style>
  <w:style w:type="paragraph" w:customStyle="1" w:styleId="10">
    <w:name w:val="УРОВЕНЬ_Абзац_тип1"/>
    <w:basedOn w:val="a8"/>
    <w:link w:val="15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9"/>
    <w:link w:val="-"/>
    <w:rsid w:val="00C34816"/>
  </w:style>
  <w:style w:type="paragraph" w:customStyle="1" w:styleId="2">
    <w:name w:val="УРОВЕНЬ_Абзац_тип2"/>
    <w:basedOn w:val="a8"/>
    <w:link w:val="22"/>
    <w:qFormat/>
    <w:rsid w:val="00C34816"/>
    <w:pPr>
      <w:numPr>
        <w:ilvl w:val="6"/>
        <w:numId w:val="2"/>
      </w:numPr>
      <w:contextualSpacing w:val="0"/>
    </w:pPr>
  </w:style>
  <w:style w:type="character" w:customStyle="1" w:styleId="15">
    <w:name w:val="УРОВЕНЬ_Абзац_тип1 Знак"/>
    <w:basedOn w:val="a9"/>
    <w:link w:val="10"/>
    <w:rsid w:val="00C34816"/>
  </w:style>
  <w:style w:type="paragraph" w:customStyle="1" w:styleId="3">
    <w:name w:val="УРОВЕНЬ_Абзац_тип3"/>
    <w:basedOn w:val="a8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2">
    <w:name w:val="УРОВЕНЬ_Абзац_тип2 Знак"/>
    <w:basedOn w:val="a9"/>
    <w:link w:val="2"/>
    <w:rsid w:val="00C34816"/>
  </w:style>
  <w:style w:type="paragraph" w:customStyle="1" w:styleId="a0">
    <w:name w:val="УРОВЕНЬ_Подпись"/>
    <w:basedOn w:val="a8"/>
    <w:link w:val="ac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9"/>
    <w:link w:val="3"/>
    <w:rsid w:val="00C34816"/>
  </w:style>
  <w:style w:type="character" w:customStyle="1" w:styleId="ac">
    <w:name w:val="УРОВЕНЬ_Подпись Знак"/>
    <w:basedOn w:val="a9"/>
    <w:link w:val="a0"/>
    <w:rsid w:val="00C34816"/>
  </w:style>
  <w:style w:type="paragraph" w:styleId="ad">
    <w:name w:val="Balloon Text"/>
    <w:basedOn w:val="a4"/>
    <w:link w:val="ae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5"/>
    <w:link w:val="ad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f">
    <w:name w:val="caption"/>
    <w:basedOn w:val="a4"/>
    <w:next w:val="a4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f0">
    <w:name w:val="footnote text"/>
    <w:basedOn w:val="a4"/>
    <w:link w:val="af1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f1">
    <w:name w:val="Текст сноски Знак"/>
    <w:basedOn w:val="a5"/>
    <w:link w:val="af0"/>
    <w:uiPriority w:val="99"/>
    <w:rsid w:val="00FA2307"/>
    <w:rPr>
      <w:rFonts w:ascii="Calibri Light" w:hAnsi="Calibri Light"/>
      <w:sz w:val="20"/>
      <w:szCs w:val="20"/>
    </w:rPr>
  </w:style>
  <w:style w:type="character" w:styleId="af2">
    <w:name w:val="footnote reference"/>
    <w:basedOn w:val="a5"/>
    <w:uiPriority w:val="99"/>
    <w:unhideWhenUsed/>
    <w:rsid w:val="00FA2307"/>
    <w:rPr>
      <w:vertAlign w:val="superscript"/>
    </w:rPr>
  </w:style>
  <w:style w:type="paragraph" w:styleId="16">
    <w:name w:val="toc 1"/>
    <w:basedOn w:val="a4"/>
    <w:next w:val="a4"/>
    <w:autoRedefine/>
    <w:uiPriority w:val="39"/>
    <w:unhideWhenUsed/>
    <w:rsid w:val="001935B3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3">
    <w:name w:val="toc 2"/>
    <w:basedOn w:val="a4"/>
    <w:next w:val="a4"/>
    <w:autoRedefine/>
    <w:uiPriority w:val="39"/>
    <w:unhideWhenUsed/>
    <w:rsid w:val="00D202F2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4"/>
    <w:next w:val="a4"/>
    <w:autoRedefine/>
    <w:uiPriority w:val="39"/>
    <w:unhideWhenUsed/>
    <w:rsid w:val="00EB1D82"/>
    <w:pPr>
      <w:spacing w:after="100"/>
      <w:ind w:left="520"/>
    </w:pPr>
  </w:style>
  <w:style w:type="character" w:styleId="af3">
    <w:name w:val="Hyperlink"/>
    <w:basedOn w:val="a5"/>
    <w:uiPriority w:val="99"/>
    <w:unhideWhenUsed/>
    <w:rsid w:val="00EB1D82"/>
    <w:rPr>
      <w:color w:val="0000FF" w:themeColor="hyperlink"/>
      <w:u w:val="single"/>
    </w:rPr>
  </w:style>
  <w:style w:type="paragraph" w:styleId="af4">
    <w:name w:val="header"/>
    <w:basedOn w:val="a4"/>
    <w:link w:val="af5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5">
    <w:name w:val="Верхний колонтитул Знак"/>
    <w:basedOn w:val="a5"/>
    <w:link w:val="af4"/>
    <w:uiPriority w:val="99"/>
    <w:rsid w:val="0077404F"/>
  </w:style>
  <w:style w:type="paragraph" w:styleId="af6">
    <w:name w:val="footer"/>
    <w:basedOn w:val="a4"/>
    <w:link w:val="af7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7">
    <w:name w:val="Нижний колонтитул Знак"/>
    <w:basedOn w:val="a5"/>
    <w:link w:val="af6"/>
    <w:uiPriority w:val="99"/>
    <w:rsid w:val="0077404F"/>
  </w:style>
  <w:style w:type="character" w:styleId="af8">
    <w:name w:val="Placeholder Text"/>
    <w:basedOn w:val="a5"/>
    <w:uiPriority w:val="99"/>
    <w:semiHidden/>
    <w:rsid w:val="0067227E"/>
    <w:rPr>
      <w:color w:val="808080"/>
    </w:rPr>
  </w:style>
  <w:style w:type="character" w:styleId="af9">
    <w:name w:val="annotation reference"/>
    <w:basedOn w:val="a5"/>
    <w:uiPriority w:val="99"/>
    <w:unhideWhenUsed/>
    <w:rsid w:val="00A32CC5"/>
    <w:rPr>
      <w:sz w:val="16"/>
      <w:szCs w:val="16"/>
    </w:rPr>
  </w:style>
  <w:style w:type="paragraph" w:styleId="afa">
    <w:name w:val="annotation text"/>
    <w:basedOn w:val="a4"/>
    <w:link w:val="afb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5"/>
    <w:link w:val="afa"/>
    <w:uiPriority w:val="99"/>
    <w:rsid w:val="00A32CC5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A32CC5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4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e">
    <w:name w:val="[Ростех] Простой текст (Без уровня)"/>
    <w:link w:val="aff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f">
    <w:name w:val="[Ростех] Простой текст (Без уровня) Знак"/>
    <w:basedOn w:val="a5"/>
    <w:link w:val="afe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f0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f1">
    <w:name w:val="FollowedHyperlink"/>
    <w:basedOn w:val="a5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2">
    <w:name w:val="endnote text"/>
    <w:basedOn w:val="a4"/>
    <w:link w:val="aff3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5"/>
    <w:link w:val="aff2"/>
    <w:uiPriority w:val="99"/>
    <w:semiHidden/>
    <w:rsid w:val="00080650"/>
    <w:rPr>
      <w:sz w:val="20"/>
      <w:szCs w:val="20"/>
    </w:rPr>
  </w:style>
  <w:style w:type="character" w:styleId="aff4">
    <w:name w:val="endnote reference"/>
    <w:basedOn w:val="a5"/>
    <w:uiPriority w:val="99"/>
    <w:semiHidden/>
    <w:unhideWhenUsed/>
    <w:rsid w:val="00080650"/>
    <w:rPr>
      <w:vertAlign w:val="superscript"/>
    </w:rPr>
  </w:style>
  <w:style w:type="character" w:customStyle="1" w:styleId="13">
    <w:name w:val="Заголовок 1 Знак"/>
    <w:aliases w:val="Document Header1 Знак,H1 Знак,Заголовок параграфа (1.)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1 Зна Знак"/>
    <w:basedOn w:val="a5"/>
    <w:link w:val="12"/>
    <w:rsid w:val="001E485A"/>
    <w:rPr>
      <w:rFonts w:ascii="Arial" w:eastAsia="Times New Roman" w:hAnsi="Arial"/>
      <w:b/>
      <w:kern w:val="28"/>
      <w:sz w:val="40"/>
      <w:szCs w:val="26"/>
      <w:lang w:eastAsia="ru-RU"/>
    </w:rPr>
  </w:style>
  <w:style w:type="character" w:customStyle="1" w:styleId="21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5"/>
    <w:link w:val="20"/>
    <w:rsid w:val="001E485A"/>
    <w:rPr>
      <w:rFonts w:eastAsia="Times New Roman"/>
      <w:b/>
      <w:snapToGrid w:val="0"/>
      <w:sz w:val="32"/>
      <w:szCs w:val="26"/>
      <w:lang w:eastAsia="ru-RU"/>
    </w:rPr>
  </w:style>
  <w:style w:type="paragraph" w:customStyle="1" w:styleId="a1">
    <w:name w:val="Пункт"/>
    <w:basedOn w:val="a4"/>
    <w:rsid w:val="001E485A"/>
    <w:pPr>
      <w:numPr>
        <w:ilvl w:val="2"/>
        <w:numId w:val="12"/>
      </w:numPr>
      <w:spacing w:line="240" w:lineRule="auto"/>
    </w:pPr>
    <w:rPr>
      <w:rFonts w:eastAsia="Times New Roman"/>
      <w:snapToGrid w:val="0"/>
      <w:szCs w:val="26"/>
      <w:lang w:eastAsia="ru-RU"/>
    </w:rPr>
  </w:style>
  <w:style w:type="paragraph" w:customStyle="1" w:styleId="a2">
    <w:name w:val="Подпункт"/>
    <w:basedOn w:val="a1"/>
    <w:rsid w:val="00C21357"/>
    <w:pPr>
      <w:numPr>
        <w:ilvl w:val="3"/>
      </w:numPr>
    </w:pPr>
  </w:style>
  <w:style w:type="paragraph" w:customStyle="1" w:styleId="a3">
    <w:name w:val="Подподпункт"/>
    <w:basedOn w:val="a2"/>
    <w:rsid w:val="00C21357"/>
    <w:pPr>
      <w:numPr>
        <w:ilvl w:val="4"/>
      </w:numPr>
    </w:pPr>
  </w:style>
  <w:style w:type="character" w:customStyle="1" w:styleId="aff5">
    <w:name w:val="комментарий"/>
    <w:rsid w:val="001E485A"/>
    <w:rPr>
      <w:b/>
      <w:i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package" Target="embeddings/_____Microsoft_Excel.xls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20CD9-0F92-4B72-A9FB-98A57258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6281</Words>
  <Characters>35805</Characters>
  <Application>Microsoft Office Word</Application>
  <DocSecurity>0</DocSecurity>
  <Lines>298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Щербаков Владимир Владимирович;ИнКонТех</dc:creator>
  <cp:keywords/>
  <dc:description/>
  <cp:lastModifiedBy>Чуркин Г.К.</cp:lastModifiedBy>
  <cp:revision>3</cp:revision>
  <cp:lastPrinted>2019-12-30T09:00:00Z</cp:lastPrinted>
  <dcterms:created xsi:type="dcterms:W3CDTF">2020-02-06T07:13:00Z</dcterms:created>
  <dcterms:modified xsi:type="dcterms:W3CDTF">2020-02-06T07:13:00Z</dcterms:modified>
</cp:coreProperties>
</file>